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310E0">
      <w:pPr>
        <w:adjustRightInd w:val="0"/>
        <w:snapToGrid w:val="0"/>
        <w:spacing w:line="300" w:lineRule="auto"/>
        <w:rPr>
          <w:rFonts w:hint="eastAsia"/>
          <w:color w:val="auto"/>
          <w:sz w:val="44"/>
          <w:highlight w:val="none"/>
        </w:rPr>
      </w:pPr>
      <w:r>
        <w:rPr>
          <w:rFonts w:hint="eastAsia"/>
          <w:snapToGrid w:val="0"/>
          <w:color w:val="auto"/>
          <w:highlight w:val="none"/>
          <w:lang w:val="en-US" w:eastAsia="zh-CN"/>
        </w:rPr>
        <w:t xml:space="preserve">                                             </w:t>
      </w:r>
      <w:r>
        <w:rPr>
          <w:rFonts w:hint="eastAsia"/>
          <w:snapToGrid w:val="0"/>
          <w:color w:val="auto"/>
          <w:highlight w:val="none"/>
        </w:rPr>
        <w:t xml:space="preserve">  </w:t>
      </w:r>
    </w:p>
    <w:p w14:paraId="0B2B226D">
      <w:pPr>
        <w:tabs>
          <w:tab w:val="left" w:pos="4515"/>
        </w:tabs>
        <w:jc w:val="center"/>
        <w:rPr>
          <w:rFonts w:hint="eastAsia" w:ascii="宋体" w:hAnsi="宋体"/>
          <w:b/>
          <w:color w:val="auto"/>
          <w:sz w:val="48"/>
          <w:highlight w:val="none"/>
        </w:rPr>
      </w:pPr>
      <w:r>
        <w:rPr>
          <w:rFonts w:hint="eastAsia" w:ascii="宋体" w:hAnsi="宋体"/>
          <w:b/>
          <w:color w:val="auto"/>
          <w:sz w:val="48"/>
          <w:highlight w:val="none"/>
        </w:rPr>
        <w:t>常 州 市 建 设 工 程</w:t>
      </w:r>
    </w:p>
    <w:p w14:paraId="4A0B7915">
      <w:pPr>
        <w:rPr>
          <w:rFonts w:hint="eastAsia" w:ascii="宋体" w:hAnsi="宋体"/>
          <w:color w:val="auto"/>
          <w:sz w:val="24"/>
          <w:highlight w:val="none"/>
        </w:rPr>
      </w:pPr>
    </w:p>
    <w:p w14:paraId="029B6730">
      <w:pPr>
        <w:rPr>
          <w:rFonts w:hint="eastAsia" w:ascii="宋体" w:hAnsi="宋体"/>
          <w:color w:val="auto"/>
          <w:sz w:val="24"/>
          <w:highlight w:val="none"/>
        </w:rPr>
      </w:pPr>
    </w:p>
    <w:p w14:paraId="6E2E0221">
      <w:pPr>
        <w:rPr>
          <w:rFonts w:hint="eastAsia" w:ascii="宋体" w:hAnsi="宋体"/>
          <w:color w:val="auto"/>
          <w:sz w:val="24"/>
          <w:highlight w:val="none"/>
        </w:rPr>
      </w:pPr>
    </w:p>
    <w:p w14:paraId="3321F888">
      <w:pPr>
        <w:rPr>
          <w:rFonts w:hint="eastAsia" w:ascii="宋体" w:hAnsi="宋体"/>
          <w:color w:val="auto"/>
          <w:sz w:val="24"/>
          <w:highlight w:val="none"/>
        </w:rPr>
      </w:pPr>
    </w:p>
    <w:p w14:paraId="3C30D256">
      <w:pPr>
        <w:jc w:val="center"/>
        <w:rPr>
          <w:rFonts w:hint="eastAsia" w:ascii="宋体" w:hAnsi="宋体"/>
          <w:b/>
          <w:color w:val="auto"/>
          <w:sz w:val="84"/>
          <w:highlight w:val="none"/>
        </w:rPr>
      </w:pPr>
      <w:r>
        <w:rPr>
          <w:rFonts w:hint="eastAsia" w:ascii="宋体" w:hAnsi="宋体"/>
          <w:b/>
          <w:color w:val="auto"/>
          <w:sz w:val="84"/>
          <w:highlight w:val="none"/>
        </w:rPr>
        <w:t>施 工 招 标 文 件</w:t>
      </w:r>
    </w:p>
    <w:p w14:paraId="3BE034E3">
      <w:pPr>
        <w:pStyle w:val="6"/>
        <w:rPr>
          <w:rFonts w:hint="eastAsia" w:ascii="宋体" w:hAnsi="宋体"/>
          <w:b/>
          <w:color w:val="auto"/>
          <w:sz w:val="84"/>
          <w:highlight w:val="none"/>
        </w:rPr>
      </w:pPr>
    </w:p>
    <w:p w14:paraId="2B51B817">
      <w:pPr>
        <w:rPr>
          <w:rFonts w:hint="eastAsia" w:ascii="宋体" w:hAnsi="宋体"/>
          <w:color w:val="auto"/>
          <w:sz w:val="24"/>
          <w:highlight w:val="none"/>
        </w:rPr>
      </w:pPr>
    </w:p>
    <w:p w14:paraId="54BB73D1">
      <w:pPr>
        <w:jc w:val="center"/>
        <w:rPr>
          <w:rFonts w:hint="eastAsia" w:ascii="宋体" w:hAnsi="宋体"/>
          <w:b/>
          <w:color w:val="auto"/>
          <w:sz w:val="30"/>
          <w:highlight w:val="none"/>
        </w:rPr>
      </w:pPr>
    </w:p>
    <w:p w14:paraId="20CEAC6B">
      <w:pPr>
        <w:jc w:val="center"/>
        <w:rPr>
          <w:rFonts w:hint="eastAsia" w:ascii="宋体" w:hAnsi="宋体"/>
          <w:b/>
          <w:color w:val="auto"/>
          <w:sz w:val="24"/>
          <w:szCs w:val="24"/>
          <w:highlight w:val="none"/>
        </w:rPr>
      </w:pPr>
    </w:p>
    <w:p w14:paraId="3A18655C">
      <w:pPr>
        <w:ind w:firstLine="2093" w:firstLineChars="695"/>
        <w:rPr>
          <w:rFonts w:hint="default" w:ascii="宋体" w:hAnsi="宋体" w:eastAsia="宋体"/>
          <w:b/>
          <w:color w:val="auto"/>
          <w:sz w:val="30"/>
          <w:highlight w:val="none"/>
          <w:lang w:val="en-US" w:eastAsia="zh-CN"/>
        </w:rPr>
      </w:pPr>
      <w:r>
        <w:rPr>
          <w:rFonts w:hint="eastAsia" w:ascii="宋体" w:hAnsi="宋体"/>
          <w:b/>
          <w:color w:val="auto"/>
          <w:sz w:val="30"/>
          <w:highlight w:val="none"/>
          <w:lang w:val="en-US" w:eastAsia="zh-CN"/>
        </w:rPr>
        <w:t xml:space="preserve">                                        </w:t>
      </w:r>
    </w:p>
    <w:p w14:paraId="4C3CD399">
      <w:pPr>
        <w:ind w:firstLine="2224" w:firstLineChars="695"/>
        <w:rPr>
          <w:rFonts w:hint="eastAsia" w:ascii="宋体" w:hAnsi="宋体"/>
          <w:color w:val="auto"/>
          <w:sz w:val="32"/>
          <w:szCs w:val="32"/>
          <w:highlight w:val="none"/>
        </w:rPr>
      </w:pPr>
    </w:p>
    <w:p w14:paraId="54947C8E">
      <w:pPr>
        <w:adjustRightInd w:val="0"/>
        <w:snapToGrid w:val="0"/>
        <w:spacing w:line="480" w:lineRule="auto"/>
        <w:jc w:val="center"/>
        <w:rPr>
          <w:rFonts w:hint="eastAsia" w:ascii="宋体" w:hAnsi="宋体"/>
          <w:bCs/>
          <w:snapToGrid w:val="0"/>
          <w:color w:val="auto"/>
          <w:sz w:val="32"/>
          <w:highlight w:val="none"/>
        </w:rPr>
      </w:pPr>
    </w:p>
    <w:p w14:paraId="0935B50D">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项目名称：</w:t>
      </w:r>
      <w:r>
        <w:rPr>
          <w:rFonts w:hint="eastAsia" w:ascii="宋体" w:hAnsi="宋体"/>
          <w:bCs/>
          <w:snapToGrid w:val="0"/>
          <w:color w:val="auto"/>
          <w:sz w:val="30"/>
          <w:szCs w:val="30"/>
          <w:highlight w:val="none"/>
          <w:u w:val="single"/>
          <w:lang w:eastAsia="zh-CN"/>
        </w:rPr>
        <w:t>茅庵村河塘整治工程</w:t>
      </w:r>
    </w:p>
    <w:p w14:paraId="17E90846">
      <w:pPr>
        <w:adjustRightInd w:val="0"/>
        <w:snapToGrid w:val="0"/>
        <w:spacing w:line="480" w:lineRule="auto"/>
        <w:ind w:firstLine="1200" w:firstLineChars="400"/>
        <w:rPr>
          <w:rFonts w:hint="eastAsia" w:ascii="宋体" w:hAnsi="宋体"/>
          <w:bCs/>
          <w:snapToGrid w:val="0"/>
          <w:color w:val="auto"/>
          <w:sz w:val="30"/>
          <w:szCs w:val="30"/>
          <w:highlight w:val="none"/>
        </w:rPr>
      </w:pPr>
    </w:p>
    <w:p w14:paraId="7260A28F">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招 标 人</w:t>
      </w:r>
      <w:r>
        <w:rPr>
          <w:rFonts w:hint="eastAsia" w:ascii="宋体" w:hAnsi="宋体"/>
          <w:bCs/>
          <w:snapToGrid w:val="0"/>
          <w:color w:val="auto"/>
          <w:sz w:val="30"/>
          <w:szCs w:val="30"/>
          <w:highlight w:val="none"/>
          <w:lang w:eastAsia="zh-CN"/>
        </w:rPr>
        <w:t>：</w:t>
      </w:r>
      <w:r>
        <w:rPr>
          <w:rFonts w:hint="eastAsia" w:ascii="宋体" w:hAnsi="宋体"/>
          <w:bCs/>
          <w:snapToGrid w:val="0"/>
          <w:color w:val="auto"/>
          <w:sz w:val="30"/>
          <w:szCs w:val="30"/>
          <w:highlight w:val="none"/>
          <w:u w:val="single"/>
          <w:lang w:eastAsia="zh-CN"/>
        </w:rPr>
        <w:t>常州市金坛区薛埠镇茅庵村村民委员会</w:t>
      </w:r>
    </w:p>
    <w:p w14:paraId="268E3F78">
      <w:pPr>
        <w:adjustRightInd w:val="0"/>
        <w:snapToGrid w:val="0"/>
        <w:spacing w:line="480" w:lineRule="auto"/>
        <w:ind w:firstLine="1200" w:firstLineChars="400"/>
        <w:rPr>
          <w:rFonts w:hint="eastAsia" w:ascii="宋体" w:hAnsi="宋体"/>
          <w:color w:val="auto"/>
          <w:sz w:val="30"/>
          <w:szCs w:val="30"/>
          <w:highlight w:val="none"/>
        </w:rPr>
      </w:pPr>
    </w:p>
    <w:p w14:paraId="6D0FF66F">
      <w:pPr>
        <w:adjustRightInd w:val="0"/>
        <w:snapToGrid w:val="0"/>
        <w:spacing w:line="480" w:lineRule="auto"/>
        <w:rPr>
          <w:rFonts w:hint="eastAsia" w:ascii="宋体" w:hAnsi="宋体"/>
          <w:color w:val="auto"/>
          <w:sz w:val="30"/>
          <w:szCs w:val="30"/>
          <w:highlight w:val="none"/>
          <w:u w:val="single"/>
        </w:rPr>
      </w:pPr>
      <w:r>
        <w:rPr>
          <w:rFonts w:hint="eastAsia" w:ascii="宋体" w:hAnsi="宋体"/>
          <w:color w:val="auto"/>
          <w:sz w:val="30"/>
          <w:szCs w:val="30"/>
          <w:highlight w:val="none"/>
        </w:rPr>
        <w:t>招标代理人：</w:t>
      </w:r>
      <w:r>
        <w:rPr>
          <w:rFonts w:hint="eastAsia" w:ascii="宋体" w:hAnsi="宋体"/>
          <w:bCs/>
          <w:snapToGrid w:val="0"/>
          <w:color w:val="auto"/>
          <w:sz w:val="30"/>
          <w:szCs w:val="30"/>
          <w:highlight w:val="none"/>
          <w:u w:val="single"/>
          <w:lang w:eastAsia="zh-CN"/>
        </w:rPr>
        <w:t>江苏利诚全过程工程咨询有限公司</w:t>
      </w:r>
    </w:p>
    <w:p w14:paraId="60A37245">
      <w:pPr>
        <w:adjustRightInd w:val="0"/>
        <w:snapToGrid w:val="0"/>
        <w:spacing w:line="480" w:lineRule="auto"/>
        <w:ind w:firstLine="1200" w:firstLineChars="400"/>
        <w:rPr>
          <w:rFonts w:hint="eastAsia" w:ascii="宋体" w:hAnsi="宋体"/>
          <w:bCs/>
          <w:color w:val="auto"/>
          <w:sz w:val="30"/>
          <w:szCs w:val="30"/>
          <w:highlight w:val="none"/>
        </w:rPr>
      </w:pPr>
    </w:p>
    <w:p w14:paraId="42614557">
      <w:pPr>
        <w:adjustRightInd w:val="0"/>
        <w:snapToGrid w:val="0"/>
        <w:spacing w:line="480" w:lineRule="auto"/>
        <w:rPr>
          <w:rFonts w:hint="default" w:ascii="宋体" w:hAnsi="宋体" w:eastAsia="宋体"/>
          <w:color w:val="auto"/>
          <w:sz w:val="30"/>
          <w:szCs w:val="30"/>
          <w:highlight w:val="none"/>
          <w:lang w:val="en-US" w:eastAsia="zh-CN"/>
        </w:rPr>
      </w:pPr>
      <w:r>
        <w:rPr>
          <w:rFonts w:hint="eastAsia" w:ascii="宋体" w:hAnsi="宋体"/>
          <w:bCs/>
          <w:color w:val="auto"/>
          <w:sz w:val="30"/>
          <w:szCs w:val="30"/>
          <w:highlight w:val="none"/>
        </w:rPr>
        <w:t>发 放 时 间：</w:t>
      </w:r>
      <w:r>
        <w:rPr>
          <w:rFonts w:hint="eastAsia" w:ascii="宋体" w:hAnsi="宋体"/>
          <w:bCs/>
          <w:color w:val="auto"/>
          <w:sz w:val="30"/>
          <w:szCs w:val="30"/>
          <w:highlight w:val="none"/>
          <w:u w:val="single"/>
        </w:rPr>
        <w:t xml:space="preserve"> </w:t>
      </w:r>
      <w:r>
        <w:rPr>
          <w:rFonts w:hint="eastAsia" w:ascii="宋体" w:hAnsi="宋体"/>
          <w:bCs/>
          <w:color w:val="auto"/>
          <w:sz w:val="30"/>
          <w:szCs w:val="30"/>
          <w:highlight w:val="none"/>
          <w:u w:val="single"/>
          <w:lang w:val="en-US" w:eastAsia="zh-CN"/>
        </w:rPr>
        <w:t>2023</w:t>
      </w:r>
      <w:r>
        <w:rPr>
          <w:rFonts w:hint="eastAsia" w:ascii="宋体" w:hAnsi="宋体"/>
          <w:color w:val="auto"/>
          <w:sz w:val="30"/>
          <w:szCs w:val="30"/>
          <w:highlight w:val="none"/>
        </w:rPr>
        <w:t>年</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4</w:t>
      </w:r>
      <w:r>
        <w:rPr>
          <w:rFonts w:hint="eastAsia" w:ascii="宋体" w:hAnsi="宋体"/>
          <w:color w:val="auto"/>
          <w:sz w:val="30"/>
          <w:szCs w:val="30"/>
          <w:highlight w:val="none"/>
        </w:rPr>
        <w:t>月</w:t>
      </w:r>
      <w:r>
        <w:rPr>
          <w:rFonts w:hint="eastAsia" w:ascii="宋体" w:hAnsi="宋体"/>
          <w:color w:val="auto"/>
          <w:sz w:val="30"/>
          <w:szCs w:val="30"/>
          <w:highlight w:val="none"/>
          <w:u w:val="single"/>
          <w:lang w:val="en-US" w:eastAsia="zh-CN"/>
        </w:rPr>
        <w:t xml:space="preserve"> 13 </w:t>
      </w:r>
      <w:r>
        <w:rPr>
          <w:rFonts w:hint="eastAsia" w:ascii="宋体" w:hAnsi="宋体"/>
          <w:color w:val="auto"/>
          <w:sz w:val="30"/>
          <w:szCs w:val="30"/>
          <w:highlight w:val="none"/>
          <w:lang w:val="en-US" w:eastAsia="zh-CN"/>
        </w:rPr>
        <w:t>日</w:t>
      </w:r>
    </w:p>
    <w:p w14:paraId="2C918D6D">
      <w:pPr>
        <w:adjustRightInd w:val="0"/>
        <w:snapToGrid w:val="0"/>
        <w:rPr>
          <w:rFonts w:hint="eastAsia" w:ascii="宋体" w:hAnsi="宋体"/>
          <w:b/>
          <w:bCs/>
          <w:color w:val="auto"/>
          <w:sz w:val="44"/>
          <w:highlight w:val="none"/>
        </w:rPr>
      </w:pPr>
    </w:p>
    <w:p w14:paraId="34ED0845">
      <w:pPr>
        <w:widowControl w:val="0"/>
        <w:ind w:firstLine="3889"/>
        <w:jc w:val="both"/>
        <w:rPr>
          <w:rFonts w:hint="eastAsia" w:ascii="宋体" w:hAnsi="宋体"/>
          <w:b/>
          <w:color w:val="auto"/>
          <w:kern w:val="2"/>
          <w:sz w:val="30"/>
          <w:szCs w:val="30"/>
          <w:highlight w:val="none"/>
        </w:rPr>
      </w:pPr>
    </w:p>
    <w:p w14:paraId="373584F5">
      <w:pPr>
        <w:widowControl w:val="0"/>
        <w:ind w:firstLine="3889"/>
        <w:jc w:val="both"/>
        <w:rPr>
          <w:rFonts w:hint="eastAsia" w:ascii="宋体" w:hAnsi="宋体"/>
          <w:b/>
          <w:color w:val="auto"/>
          <w:kern w:val="2"/>
          <w:sz w:val="30"/>
          <w:szCs w:val="30"/>
          <w:highlight w:val="none"/>
        </w:rPr>
      </w:pPr>
    </w:p>
    <w:p w14:paraId="2D9D440B">
      <w:pPr>
        <w:widowControl w:val="0"/>
        <w:ind w:firstLine="3889"/>
        <w:jc w:val="both"/>
        <w:rPr>
          <w:rFonts w:hint="eastAsia" w:ascii="宋体" w:hAnsi="宋体"/>
          <w:b/>
          <w:color w:val="auto"/>
          <w:kern w:val="2"/>
          <w:sz w:val="30"/>
          <w:szCs w:val="30"/>
          <w:highlight w:val="none"/>
        </w:rPr>
      </w:pPr>
    </w:p>
    <w:p w14:paraId="5DF5C9D1">
      <w:pPr>
        <w:pStyle w:val="6"/>
        <w:rPr>
          <w:rFonts w:hint="eastAsia"/>
          <w:color w:val="auto"/>
          <w:highlight w:val="none"/>
        </w:rPr>
      </w:pPr>
    </w:p>
    <w:p w14:paraId="232183A7">
      <w:pPr>
        <w:pStyle w:val="16"/>
        <w:ind w:left="0"/>
        <w:jc w:val="center"/>
        <w:rPr>
          <w:rFonts w:ascii="宋体" w:hAnsi="宋体" w:eastAsia="黑体" w:cs="Times New Roman"/>
          <w:b w:val="0"/>
          <w:smallCaps/>
          <w:snapToGrid w:val="0"/>
          <w:color w:val="auto"/>
          <w:kern w:val="2"/>
          <w:sz w:val="28"/>
          <w:highlight w:val="none"/>
          <w:lang w:val="en-US" w:eastAsia="zh-CN" w:bidi="ar-SA"/>
        </w:rPr>
      </w:pPr>
      <w:r>
        <w:rPr>
          <w:rFonts w:hint="eastAsia" w:ascii="宋体" w:hAnsi="宋体" w:eastAsia="宋体"/>
          <w:b/>
          <w:snapToGrid w:val="0"/>
          <w:color w:val="auto"/>
          <w:sz w:val="32"/>
          <w:szCs w:val="32"/>
          <w:highlight w:val="none"/>
        </w:rPr>
        <w:t>目 录</w:t>
      </w:r>
      <w:r>
        <w:rPr>
          <w:rFonts w:ascii="宋体" w:hAnsi="宋体" w:eastAsia="宋体"/>
          <w:b/>
          <w:snapToGrid w:val="0"/>
          <w:color w:val="auto"/>
          <w:sz w:val="32"/>
          <w:szCs w:val="32"/>
          <w:highlight w:val="none"/>
        </w:rPr>
        <w:fldChar w:fldCharType="begin"/>
      </w:r>
      <w:r>
        <w:rPr>
          <w:rFonts w:ascii="宋体" w:hAnsi="宋体" w:eastAsia="宋体"/>
          <w:b/>
          <w:snapToGrid w:val="0"/>
          <w:color w:val="auto"/>
          <w:sz w:val="32"/>
          <w:szCs w:val="32"/>
          <w:highlight w:val="none"/>
        </w:rPr>
        <w:instrText xml:space="preserve"> TOC \o "1-3" \h \z \u </w:instrText>
      </w:r>
      <w:r>
        <w:rPr>
          <w:rFonts w:ascii="宋体" w:hAnsi="宋体" w:eastAsia="宋体"/>
          <w:b/>
          <w:snapToGrid w:val="0"/>
          <w:color w:val="auto"/>
          <w:sz w:val="32"/>
          <w:szCs w:val="32"/>
          <w:highlight w:val="none"/>
        </w:rPr>
        <w:fldChar w:fldCharType="separate"/>
      </w:r>
    </w:p>
    <w:p w14:paraId="6D7B0B02">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_Toc28494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_Toc28494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14:paraId="3BC00957">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_Toc32364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_Toc32364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14:paraId="647A9D30">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_Toc9595 </w:instrText>
      </w:r>
      <w:r>
        <w:rPr>
          <w:rFonts w:ascii="宋体" w:hAnsi="宋体"/>
          <w:snapToGrid w:val="0"/>
          <w:color w:val="auto"/>
          <w:highlight w:val="none"/>
        </w:rPr>
        <w:fldChar w:fldCharType="separate"/>
      </w:r>
      <w:r>
        <w:rPr>
          <w:rFonts w:hint="eastAsia" w:ascii="宋体" w:hAnsi="宋体" w:eastAsia="宋体"/>
          <w:color w:val="auto"/>
          <w:szCs w:val="32"/>
          <w:highlight w:val="none"/>
        </w:rPr>
        <w:t xml:space="preserve">第三章 </w:t>
      </w:r>
      <w:r>
        <w:rPr>
          <w:rFonts w:hint="eastAsia" w:ascii="宋体" w:hAnsi="宋体"/>
          <w:color w:val="auto"/>
          <w:szCs w:val="32"/>
          <w:highlight w:val="none"/>
          <w:lang w:val="en-US" w:eastAsia="zh-CN"/>
        </w:rPr>
        <w:t xml:space="preserve"> </w:t>
      </w:r>
      <w:r>
        <w:rPr>
          <w:rFonts w:hint="eastAsia" w:ascii="宋体" w:hAnsi="宋体" w:eastAsia="宋体"/>
          <w:color w:val="auto"/>
          <w:szCs w:val="32"/>
          <w:highlight w:val="none"/>
        </w:rPr>
        <w:t>合同（格式）</w:t>
      </w:r>
      <w:r>
        <w:rPr>
          <w:color w:val="auto"/>
          <w:highlight w:val="none"/>
        </w:rPr>
        <w:tab/>
      </w:r>
      <w:r>
        <w:rPr>
          <w:color w:val="auto"/>
          <w:highlight w:val="none"/>
        </w:rPr>
        <w:fldChar w:fldCharType="begin"/>
      </w:r>
      <w:r>
        <w:rPr>
          <w:color w:val="auto"/>
          <w:highlight w:val="none"/>
        </w:rPr>
        <w:instrText xml:space="preserve"> PAGEREF _Toc9595 \h </w:instrText>
      </w:r>
      <w:r>
        <w:rPr>
          <w:color w:val="auto"/>
          <w:highlight w:val="none"/>
        </w:rPr>
        <w:fldChar w:fldCharType="separate"/>
      </w:r>
      <w:r>
        <w:rPr>
          <w:color w:val="auto"/>
          <w:highlight w:val="none"/>
        </w:rPr>
        <w:t>18</w:t>
      </w:r>
      <w:r>
        <w:rPr>
          <w:color w:val="auto"/>
          <w:highlight w:val="none"/>
        </w:rPr>
        <w:fldChar w:fldCharType="end"/>
      </w:r>
      <w:r>
        <w:rPr>
          <w:rFonts w:ascii="宋体" w:hAnsi="宋体"/>
          <w:snapToGrid w:val="0"/>
          <w:color w:val="auto"/>
          <w:highlight w:val="none"/>
        </w:rPr>
        <w:fldChar w:fldCharType="end"/>
      </w:r>
    </w:p>
    <w:p w14:paraId="5EACFB2C">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_Toc10040 </w:instrText>
      </w:r>
      <w:r>
        <w:rPr>
          <w:rFonts w:ascii="宋体" w:hAnsi="宋体"/>
          <w:snapToGrid w:val="0"/>
          <w:color w:val="auto"/>
          <w:highlight w:val="none"/>
        </w:rPr>
        <w:fldChar w:fldCharType="separate"/>
      </w:r>
      <w:r>
        <w:rPr>
          <w:rFonts w:hint="eastAsia" w:ascii="宋体" w:hAnsi="宋体"/>
          <w:color w:val="auto"/>
          <w:szCs w:val="30"/>
          <w:highlight w:val="none"/>
        </w:rPr>
        <w:t xml:space="preserve">第四章 </w:t>
      </w:r>
      <w:r>
        <w:rPr>
          <w:rFonts w:hint="eastAsia" w:ascii="宋体" w:hAnsi="宋体"/>
          <w:color w:val="auto"/>
          <w:szCs w:val="30"/>
          <w:highlight w:val="none"/>
          <w:lang w:val="en-US" w:eastAsia="zh-CN"/>
        </w:rPr>
        <w:t xml:space="preserve"> </w:t>
      </w:r>
      <w:r>
        <w:rPr>
          <w:rFonts w:hint="eastAsia" w:ascii="宋体" w:hAnsi="宋体"/>
          <w:color w:val="auto"/>
          <w:szCs w:val="30"/>
          <w:highlight w:val="none"/>
        </w:rPr>
        <w:t>评标方法</w:t>
      </w:r>
      <w:r>
        <w:rPr>
          <w:color w:val="auto"/>
          <w:highlight w:val="none"/>
        </w:rPr>
        <w:tab/>
      </w:r>
      <w:r>
        <w:rPr>
          <w:color w:val="auto"/>
          <w:highlight w:val="none"/>
        </w:rPr>
        <w:fldChar w:fldCharType="begin"/>
      </w:r>
      <w:r>
        <w:rPr>
          <w:color w:val="auto"/>
          <w:highlight w:val="none"/>
        </w:rPr>
        <w:instrText xml:space="preserve"> PAGEREF _Toc10040 \h </w:instrText>
      </w:r>
      <w:r>
        <w:rPr>
          <w:color w:val="auto"/>
          <w:highlight w:val="none"/>
        </w:rPr>
        <w:fldChar w:fldCharType="separate"/>
      </w:r>
      <w:r>
        <w:rPr>
          <w:color w:val="auto"/>
          <w:highlight w:val="none"/>
        </w:rPr>
        <w:t>30</w:t>
      </w:r>
      <w:r>
        <w:rPr>
          <w:color w:val="auto"/>
          <w:highlight w:val="none"/>
        </w:rPr>
        <w:fldChar w:fldCharType="end"/>
      </w:r>
      <w:r>
        <w:rPr>
          <w:rFonts w:ascii="宋体" w:hAnsi="宋体"/>
          <w:snapToGrid w:val="0"/>
          <w:color w:val="auto"/>
          <w:highlight w:val="none"/>
        </w:rPr>
        <w:fldChar w:fldCharType="end"/>
      </w:r>
    </w:p>
    <w:p w14:paraId="53D83262">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_Toc14064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 xml:space="preserve">第五章 </w:t>
      </w:r>
      <w:r>
        <w:rPr>
          <w:rFonts w:hint="eastAsia" w:ascii="宋体" w:hAnsi="宋体"/>
          <w:snapToGrid w:val="0"/>
          <w:color w:val="auto"/>
          <w:szCs w:val="32"/>
          <w:highlight w:val="none"/>
          <w:lang w:val="en-US" w:eastAsia="zh-CN"/>
        </w:rPr>
        <w:t xml:space="preserve"> </w:t>
      </w:r>
      <w:r>
        <w:rPr>
          <w:rFonts w:hint="eastAsia" w:ascii="宋体" w:hAnsi="宋体" w:eastAsia="宋体"/>
          <w:snapToGrid w:val="0"/>
          <w:color w:val="auto"/>
          <w:szCs w:val="32"/>
          <w:highlight w:val="none"/>
        </w:rPr>
        <w:t>投 标 文 件</w:t>
      </w:r>
      <w:r>
        <w:rPr>
          <w:rFonts w:ascii="宋体" w:hAnsi="宋体" w:eastAsia="宋体"/>
          <w:snapToGrid w:val="0"/>
          <w:color w:val="auto"/>
          <w:szCs w:val="32"/>
          <w:highlight w:val="none"/>
        </w:rPr>
        <w:t>(</w:t>
      </w:r>
      <w:r>
        <w:rPr>
          <w:rFonts w:hint="eastAsia" w:ascii="宋体" w:hAnsi="宋体" w:eastAsia="宋体"/>
          <w:snapToGrid w:val="0"/>
          <w:color w:val="auto"/>
          <w:szCs w:val="32"/>
          <w:highlight w:val="none"/>
        </w:rPr>
        <w:t>格式)</w:t>
      </w:r>
      <w:r>
        <w:rPr>
          <w:color w:val="auto"/>
          <w:highlight w:val="none"/>
        </w:rPr>
        <w:tab/>
      </w:r>
      <w:r>
        <w:rPr>
          <w:color w:val="auto"/>
          <w:highlight w:val="none"/>
        </w:rPr>
        <w:fldChar w:fldCharType="begin"/>
      </w:r>
      <w:r>
        <w:rPr>
          <w:color w:val="auto"/>
          <w:highlight w:val="none"/>
        </w:rPr>
        <w:instrText xml:space="preserve"> PAGEREF _Toc14064 \h </w:instrText>
      </w:r>
      <w:r>
        <w:rPr>
          <w:color w:val="auto"/>
          <w:highlight w:val="none"/>
        </w:rPr>
        <w:fldChar w:fldCharType="separate"/>
      </w:r>
      <w:r>
        <w:rPr>
          <w:color w:val="auto"/>
          <w:highlight w:val="none"/>
        </w:rPr>
        <w:t>32</w:t>
      </w:r>
      <w:r>
        <w:rPr>
          <w:color w:val="auto"/>
          <w:highlight w:val="none"/>
        </w:rPr>
        <w:fldChar w:fldCharType="end"/>
      </w:r>
      <w:r>
        <w:rPr>
          <w:rFonts w:ascii="宋体" w:hAnsi="宋体"/>
          <w:snapToGrid w:val="0"/>
          <w:color w:val="auto"/>
          <w:highlight w:val="none"/>
        </w:rPr>
        <w:fldChar w:fldCharType="end"/>
      </w:r>
    </w:p>
    <w:p w14:paraId="2332FBDC">
      <w:pPr>
        <w:pStyle w:val="3"/>
        <w:numPr>
          <w:ilvl w:val="0"/>
          <w:numId w:val="0"/>
        </w:numPr>
        <w:ind w:left="0"/>
        <w:jc w:val="center"/>
        <w:rPr>
          <w:rFonts w:hint="eastAsia" w:hAnsi="Calibri" w:eastAsia="宋体"/>
          <w:b w:val="0"/>
          <w:smallCaps w:val="0"/>
          <w:color w:val="auto"/>
          <w:sz w:val="21"/>
          <w:szCs w:val="22"/>
          <w:highlight w:val="none"/>
          <w:lang w:val="en-US" w:eastAsia="zh-CN"/>
        </w:rPr>
      </w:pPr>
      <w:r>
        <w:rPr>
          <w:rFonts w:ascii="宋体" w:hAnsi="宋体"/>
          <w:b w:val="0"/>
          <w:snapToGrid w:val="0"/>
          <w:color w:val="auto"/>
          <w:sz w:val="28"/>
          <w:highlight w:val="none"/>
        </w:rPr>
        <w:fldChar w:fldCharType="end"/>
      </w:r>
    </w:p>
    <w:p w14:paraId="516D3EA1">
      <w:pPr>
        <w:rPr>
          <w:rFonts w:hint="eastAsia"/>
          <w:color w:val="auto"/>
          <w:highlight w:val="none"/>
        </w:rPr>
      </w:pPr>
    </w:p>
    <w:p w14:paraId="6E673717">
      <w:pPr>
        <w:rPr>
          <w:rFonts w:hint="eastAsia"/>
          <w:color w:val="auto"/>
          <w:highlight w:val="none"/>
        </w:rPr>
      </w:pPr>
    </w:p>
    <w:p w14:paraId="7220B98D">
      <w:pPr>
        <w:rPr>
          <w:rFonts w:hint="eastAsia"/>
          <w:color w:val="auto"/>
          <w:highlight w:val="none"/>
        </w:rPr>
      </w:pPr>
    </w:p>
    <w:p w14:paraId="7DF9E7DB">
      <w:pPr>
        <w:rPr>
          <w:rFonts w:hint="eastAsia"/>
          <w:color w:val="auto"/>
          <w:highlight w:val="none"/>
        </w:rPr>
      </w:pPr>
    </w:p>
    <w:p w14:paraId="6892F93F">
      <w:pPr>
        <w:rPr>
          <w:rFonts w:hint="eastAsia"/>
          <w:color w:val="auto"/>
          <w:highlight w:val="none"/>
        </w:rPr>
      </w:pPr>
    </w:p>
    <w:p w14:paraId="212E37E6">
      <w:pPr>
        <w:pStyle w:val="3"/>
        <w:numPr>
          <w:ilvl w:val="0"/>
          <w:numId w:val="0"/>
        </w:numPr>
        <w:ind w:left="1350" w:hanging="720"/>
        <w:jc w:val="center"/>
        <w:rPr>
          <w:rFonts w:ascii="宋体" w:hAnsi="宋体" w:eastAsia="宋体"/>
          <w:b/>
          <w:snapToGrid w:val="0"/>
          <w:color w:val="auto"/>
          <w:sz w:val="32"/>
          <w:szCs w:val="32"/>
          <w:highlight w:val="none"/>
        </w:rPr>
        <w:sectPr>
          <w:footerReference r:id="rId4" w:type="first"/>
          <w:footerReference r:id="rId3" w:type="default"/>
          <w:pgSz w:w="11907" w:h="16840"/>
          <w:pgMar w:top="1440" w:right="1800" w:bottom="1440" w:left="1800" w:header="1077" w:footer="964" w:gutter="0"/>
          <w:cols w:space="720" w:num="1"/>
          <w:titlePg/>
          <w:docGrid w:linePitch="272" w:charSpace="0"/>
        </w:sectPr>
      </w:pPr>
    </w:p>
    <w:p w14:paraId="0DA828B7">
      <w:pPr>
        <w:pStyle w:val="3"/>
        <w:numPr>
          <w:ilvl w:val="0"/>
          <w:numId w:val="0"/>
        </w:numPr>
        <w:jc w:val="center"/>
        <w:rPr>
          <w:rFonts w:hint="eastAsia" w:ascii="宋体" w:hAnsi="宋体" w:eastAsia="宋体"/>
          <w:b/>
          <w:snapToGrid w:val="0"/>
          <w:color w:val="auto"/>
          <w:sz w:val="32"/>
          <w:szCs w:val="32"/>
          <w:highlight w:val="none"/>
        </w:rPr>
      </w:pPr>
      <w:bookmarkStart w:id="0" w:name="_Toc28494"/>
      <w:r>
        <w:rPr>
          <w:rFonts w:hint="eastAsia" w:ascii="宋体" w:hAnsi="宋体" w:eastAsia="宋体"/>
          <w:b/>
          <w:snapToGrid w:val="0"/>
          <w:color w:val="auto"/>
          <w:sz w:val="32"/>
          <w:szCs w:val="32"/>
          <w:highlight w:val="none"/>
        </w:rPr>
        <w:t>第一章  招标公告</w:t>
      </w:r>
      <w:bookmarkEnd w:id="0"/>
    </w:p>
    <w:p w14:paraId="68AABCCF">
      <w:pPr>
        <w:pStyle w:val="3"/>
        <w:numPr>
          <w:ilvl w:val="0"/>
          <w:numId w:val="0"/>
        </w:numPr>
        <w:jc w:val="both"/>
        <w:rPr>
          <w:rFonts w:hint="eastAsia" w:ascii="宋体" w:hAnsi="宋体" w:eastAsia="宋体"/>
          <w:b/>
          <w:snapToGrid w:val="0"/>
          <w:color w:val="auto"/>
          <w:sz w:val="32"/>
          <w:szCs w:val="32"/>
          <w:highlight w:val="none"/>
          <w:lang w:val="en-US" w:eastAsia="zh-CN"/>
        </w:rPr>
      </w:pPr>
      <w:bookmarkStart w:id="1" w:name="_Toc32364"/>
      <w:r>
        <w:rPr>
          <w:rFonts w:hint="eastAsia" w:ascii="宋体" w:hAnsi="宋体" w:eastAsia="宋体"/>
          <w:b/>
          <w:snapToGrid w:val="0"/>
          <w:color w:val="auto"/>
          <w:sz w:val="32"/>
          <w:szCs w:val="32"/>
          <w:highlight w:val="none"/>
          <w:lang w:val="en-US" w:eastAsia="zh-CN"/>
        </w:rPr>
        <w:t>详见招标公告</w:t>
      </w:r>
    </w:p>
    <w:p w14:paraId="14CFAEC6">
      <w:pPr>
        <w:rPr>
          <w:rFonts w:hint="default"/>
          <w:lang w:val="en-US" w:eastAsia="zh-CN"/>
        </w:rPr>
      </w:pPr>
    </w:p>
    <w:p w14:paraId="2B46D381">
      <w:pPr>
        <w:pStyle w:val="3"/>
        <w:numPr>
          <w:ilvl w:val="0"/>
          <w:numId w:val="0"/>
        </w:numPr>
        <w:jc w:val="center"/>
        <w:rPr>
          <w:rFonts w:hint="eastAsia" w:ascii="宋体" w:hAnsi="宋体" w:eastAsia="宋体"/>
          <w:b/>
          <w:snapToGrid w:val="0"/>
          <w:color w:val="auto"/>
          <w:sz w:val="32"/>
          <w:szCs w:val="32"/>
          <w:highlight w:val="none"/>
        </w:rPr>
      </w:pPr>
      <w:r>
        <w:rPr>
          <w:rFonts w:hint="eastAsia" w:ascii="宋体" w:hAnsi="宋体" w:eastAsia="宋体"/>
          <w:b/>
          <w:snapToGrid w:val="0"/>
          <w:color w:val="auto"/>
          <w:sz w:val="32"/>
          <w:szCs w:val="32"/>
          <w:highlight w:val="none"/>
        </w:rPr>
        <w:t>第二章   投标须知</w:t>
      </w:r>
      <w:bookmarkEnd w:id="1"/>
    </w:p>
    <w:p w14:paraId="6116C720">
      <w:pPr>
        <w:adjustRightInd w:val="0"/>
        <w:snapToGrid w:val="0"/>
        <w:spacing w:line="300" w:lineRule="auto"/>
        <w:rPr>
          <w:rFonts w:hint="eastAsia" w:ascii="宋体" w:hAnsi="宋体"/>
          <w:snapToGrid w:val="0"/>
          <w:color w:val="auto"/>
          <w:sz w:val="24"/>
          <w:highlight w:val="none"/>
        </w:rPr>
      </w:pPr>
    </w:p>
    <w:p w14:paraId="5EA0FEBC">
      <w:pPr>
        <w:adjustRightInd w:val="0"/>
        <w:snapToGrid w:val="0"/>
        <w:spacing w:line="300" w:lineRule="auto"/>
        <w:jc w:val="center"/>
        <w:rPr>
          <w:rFonts w:hint="eastAsia" w:ascii="宋体" w:hAnsi="宋体"/>
          <w:b/>
          <w:snapToGrid w:val="0"/>
          <w:color w:val="auto"/>
          <w:sz w:val="28"/>
          <w:highlight w:val="none"/>
        </w:rPr>
      </w:pPr>
      <w:r>
        <w:rPr>
          <w:rFonts w:hint="eastAsia" w:ascii="宋体" w:hAnsi="宋体"/>
          <w:b/>
          <w:snapToGrid w:val="0"/>
          <w:color w:val="auto"/>
          <w:sz w:val="24"/>
          <w:highlight w:val="none"/>
        </w:rPr>
        <w:t>前  附  表</w:t>
      </w:r>
    </w:p>
    <w:tbl>
      <w:tblPr>
        <w:tblStyle w:val="20"/>
        <w:tblW w:w="95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3218"/>
        <w:gridCol w:w="2268"/>
        <w:gridCol w:w="2241"/>
      </w:tblGrid>
      <w:tr w14:paraId="7B08B8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14:paraId="4BB8636E">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工程名称</w:t>
            </w:r>
          </w:p>
        </w:tc>
        <w:tc>
          <w:tcPr>
            <w:tcW w:w="7727" w:type="dxa"/>
            <w:gridSpan w:val="3"/>
            <w:noWrap w:val="0"/>
            <w:vAlign w:val="center"/>
          </w:tcPr>
          <w:p w14:paraId="03C06FD5">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茅庵村河塘整治工程</w:t>
            </w:r>
          </w:p>
        </w:tc>
      </w:tr>
      <w:tr w14:paraId="3CB44E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14:paraId="307DAEB2">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w:t>
            </w:r>
          </w:p>
        </w:tc>
        <w:tc>
          <w:tcPr>
            <w:tcW w:w="7727" w:type="dxa"/>
            <w:gridSpan w:val="3"/>
            <w:noWrap w:val="0"/>
            <w:vAlign w:val="center"/>
          </w:tcPr>
          <w:p w14:paraId="225E5961">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常州市金坛区薛埠镇茅庵村村民委员会</w:t>
            </w:r>
          </w:p>
        </w:tc>
      </w:tr>
      <w:tr w14:paraId="54ECC3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74" w:type="dxa"/>
            <w:noWrap w:val="0"/>
            <w:vAlign w:val="center"/>
          </w:tcPr>
          <w:p w14:paraId="081B3DA9">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建设地点</w:t>
            </w:r>
          </w:p>
        </w:tc>
        <w:tc>
          <w:tcPr>
            <w:tcW w:w="7727" w:type="dxa"/>
            <w:gridSpan w:val="3"/>
            <w:noWrap w:val="0"/>
            <w:vAlign w:val="top"/>
          </w:tcPr>
          <w:p w14:paraId="39A7E601">
            <w:pPr>
              <w:pStyle w:val="34"/>
              <w:spacing w:before="135" w:line="360" w:lineRule="auto"/>
              <w:rPr>
                <w:rFonts w:hint="default" w:eastAsia="宋体" w:cs="Times New Roman"/>
                <w:snapToGrid w:val="0"/>
                <w:color w:val="auto"/>
                <w:sz w:val="21"/>
                <w:szCs w:val="21"/>
                <w:highlight w:val="none"/>
                <w:lang w:val="en-US" w:eastAsia="zh-CN" w:bidi="ar-SA"/>
              </w:rPr>
            </w:pPr>
            <w:r>
              <w:rPr>
                <w:rFonts w:hint="eastAsia" w:cs="Times New Roman"/>
                <w:snapToGrid w:val="0"/>
                <w:color w:val="auto"/>
                <w:sz w:val="21"/>
                <w:szCs w:val="21"/>
                <w:highlight w:val="none"/>
                <w:lang w:val="en-US" w:bidi="ar-SA"/>
              </w:rPr>
              <w:t>常州市金坛区</w:t>
            </w:r>
            <w:r>
              <w:rPr>
                <w:rFonts w:hint="eastAsia" w:cs="Times New Roman"/>
                <w:snapToGrid w:val="0"/>
                <w:color w:val="auto"/>
                <w:sz w:val="21"/>
                <w:szCs w:val="21"/>
                <w:highlight w:val="none"/>
                <w:lang w:val="en-US" w:eastAsia="zh-CN" w:bidi="ar-SA"/>
              </w:rPr>
              <w:t>薛埠镇茅庵村</w:t>
            </w:r>
          </w:p>
        </w:tc>
      </w:tr>
      <w:tr w14:paraId="7FDF31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774" w:type="dxa"/>
            <w:noWrap w:val="0"/>
            <w:vAlign w:val="center"/>
          </w:tcPr>
          <w:p w14:paraId="07FE44CC">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 系 人</w:t>
            </w:r>
          </w:p>
        </w:tc>
        <w:tc>
          <w:tcPr>
            <w:tcW w:w="3218" w:type="dxa"/>
            <w:noWrap w:val="0"/>
            <w:vAlign w:val="center"/>
          </w:tcPr>
          <w:p w14:paraId="0D340106">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赵</w:t>
            </w:r>
            <w:r>
              <w:rPr>
                <w:rFonts w:hint="eastAsia" w:ascii="宋体" w:hAnsi="宋体" w:eastAsia="宋体"/>
                <w:snapToGrid w:val="0"/>
                <w:color w:val="auto"/>
                <w:sz w:val="21"/>
                <w:szCs w:val="21"/>
                <w:highlight w:val="none"/>
                <w:lang w:val="en-US" w:eastAsia="zh-CN"/>
              </w:rPr>
              <w:t>先生</w:t>
            </w:r>
          </w:p>
        </w:tc>
        <w:tc>
          <w:tcPr>
            <w:tcW w:w="2268" w:type="dxa"/>
            <w:noWrap w:val="0"/>
            <w:vAlign w:val="center"/>
          </w:tcPr>
          <w:p w14:paraId="2818785A">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联系电话</w:t>
            </w:r>
          </w:p>
        </w:tc>
        <w:tc>
          <w:tcPr>
            <w:tcW w:w="2241" w:type="dxa"/>
            <w:noWrap w:val="0"/>
            <w:vAlign w:val="center"/>
          </w:tcPr>
          <w:p w14:paraId="662EB25F">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cs="宋体"/>
                <w:color w:val="auto"/>
                <w:spacing w:val="8"/>
                <w:sz w:val="21"/>
                <w:szCs w:val="21"/>
                <w:lang w:val="zh-TW" w:eastAsia="zh-CN"/>
              </w:rPr>
              <w:t>13814785151</w:t>
            </w:r>
          </w:p>
        </w:tc>
      </w:tr>
      <w:tr w14:paraId="433D55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4" w:type="dxa"/>
            <w:noWrap w:val="0"/>
            <w:vAlign w:val="center"/>
          </w:tcPr>
          <w:p w14:paraId="48424073">
            <w:pPr>
              <w:adjustRightInd w:val="0"/>
              <w:snapToGrid w:val="0"/>
              <w:spacing w:line="240" w:lineRule="atLeast"/>
              <w:jc w:val="center"/>
              <w:rPr>
                <w:rFonts w:ascii="宋体" w:hAnsi="宋体"/>
                <w:snapToGrid w:val="0"/>
                <w:color w:val="auto"/>
                <w:sz w:val="21"/>
                <w:szCs w:val="21"/>
                <w:highlight w:val="none"/>
              </w:rPr>
            </w:pPr>
            <w:r>
              <w:rPr>
                <w:rFonts w:hint="eastAsia" w:ascii="宋体" w:hAnsi="宋体"/>
                <w:snapToGrid w:val="0"/>
                <w:color w:val="auto"/>
                <w:sz w:val="21"/>
                <w:szCs w:val="21"/>
                <w:highlight w:val="none"/>
              </w:rPr>
              <w:t>招标方式</w:t>
            </w:r>
          </w:p>
        </w:tc>
        <w:tc>
          <w:tcPr>
            <w:tcW w:w="3218" w:type="dxa"/>
            <w:noWrap w:val="0"/>
            <w:vAlign w:val="center"/>
          </w:tcPr>
          <w:p w14:paraId="2ED72584">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公开招标</w:t>
            </w:r>
          </w:p>
        </w:tc>
        <w:tc>
          <w:tcPr>
            <w:tcW w:w="2268" w:type="dxa"/>
            <w:noWrap w:val="0"/>
            <w:vAlign w:val="center"/>
          </w:tcPr>
          <w:p w14:paraId="31671E62">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投标保证金</w:t>
            </w:r>
          </w:p>
        </w:tc>
        <w:tc>
          <w:tcPr>
            <w:tcW w:w="2241" w:type="dxa"/>
            <w:noWrap w:val="0"/>
            <w:vAlign w:val="center"/>
          </w:tcPr>
          <w:p w14:paraId="5C9B51F8">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14000.00</w:t>
            </w:r>
            <w:r>
              <w:rPr>
                <w:rFonts w:hint="eastAsia" w:ascii="宋体" w:hAnsi="宋体"/>
                <w:snapToGrid w:val="0"/>
                <w:color w:val="auto"/>
                <w:sz w:val="21"/>
                <w:szCs w:val="21"/>
                <w:highlight w:val="none"/>
                <w:lang w:eastAsia="zh-CN"/>
              </w:rPr>
              <w:t>元</w:t>
            </w:r>
          </w:p>
        </w:tc>
      </w:tr>
      <w:tr w14:paraId="0D9BBB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4" w:hRule="atLeast"/>
          <w:jc w:val="center"/>
        </w:trPr>
        <w:tc>
          <w:tcPr>
            <w:tcW w:w="1774" w:type="dxa"/>
            <w:noWrap w:val="0"/>
            <w:vAlign w:val="center"/>
          </w:tcPr>
          <w:p w14:paraId="6CAF9CBE">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招标范围</w:t>
            </w:r>
          </w:p>
        </w:tc>
        <w:tc>
          <w:tcPr>
            <w:tcW w:w="7727" w:type="dxa"/>
            <w:gridSpan w:val="3"/>
            <w:noWrap w:val="0"/>
            <w:vAlign w:val="center"/>
          </w:tcPr>
          <w:p w14:paraId="35B4BD7D">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u w:val="none"/>
                <w:lang w:val="zh-CN"/>
              </w:rPr>
            </w:pPr>
            <w:r>
              <w:rPr>
                <w:rFonts w:hint="eastAsia" w:ascii="宋体" w:hAnsi="宋体" w:eastAsia="宋体" w:cs="宋体"/>
                <w:color w:val="000000"/>
                <w:kern w:val="0"/>
                <w:sz w:val="21"/>
                <w:szCs w:val="21"/>
                <w:u w:val="none"/>
                <w:lang w:val="en-US" w:eastAsia="zh-CN"/>
              </w:rPr>
              <w:t>对薛埠镇茅庵村友联大坝塘、八组横塘、六组大、小金塘及新河段进行整治</w:t>
            </w:r>
          </w:p>
          <w:p w14:paraId="5CEB565E">
            <w:pPr>
              <w:adjustRightInd w:val="0"/>
              <w:snapToGrid w:val="0"/>
              <w:spacing w:line="240" w:lineRule="atLeast"/>
              <w:rPr>
                <w:rFonts w:hint="eastAsia" w:ascii="宋体" w:hAnsi="宋体" w:eastAsia="宋体"/>
                <w:snapToGrid w:val="0"/>
                <w:color w:val="auto"/>
                <w:sz w:val="21"/>
                <w:szCs w:val="21"/>
                <w:highlight w:val="none"/>
                <w:lang w:eastAsia="zh-CN"/>
              </w:rPr>
            </w:pPr>
          </w:p>
        </w:tc>
      </w:tr>
      <w:tr w14:paraId="72475A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14:paraId="68D9FB1F">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投标人资格要求</w:t>
            </w:r>
          </w:p>
        </w:tc>
        <w:tc>
          <w:tcPr>
            <w:tcW w:w="7727" w:type="dxa"/>
            <w:gridSpan w:val="3"/>
            <w:noWrap w:val="0"/>
            <w:vAlign w:val="center"/>
          </w:tcPr>
          <w:p w14:paraId="55A6BB00">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企业资质：</w:t>
            </w:r>
            <w:r>
              <w:rPr>
                <w:rFonts w:hint="eastAsia" w:ascii="宋体" w:hAnsi="宋体" w:eastAsia="宋体" w:cs="宋体"/>
                <w:color w:val="auto"/>
                <w:sz w:val="21"/>
                <w:szCs w:val="21"/>
                <w:highlight w:val="none"/>
                <w:lang w:val="en-US" w:eastAsia="zh-CN"/>
              </w:rPr>
              <w:t>水利水电工程施工总承包三级及以上</w:t>
            </w:r>
            <w:r>
              <w:rPr>
                <w:rFonts w:hint="eastAsia" w:ascii="宋体" w:hAnsi="宋体" w:eastAsia="宋体" w:cs="宋体"/>
                <w:color w:val="auto"/>
                <w:sz w:val="21"/>
                <w:szCs w:val="21"/>
                <w:highlight w:val="none"/>
                <w:lang w:val="zh-CN" w:eastAsia="zh-CN"/>
              </w:rPr>
              <w:t xml:space="preserve">； </w:t>
            </w:r>
          </w:p>
          <w:p w14:paraId="76F32046">
            <w:pPr>
              <w:adjustRightInd w:val="0"/>
              <w:snapToGrid w:val="0"/>
              <w:spacing w:line="240" w:lineRule="atLeast"/>
              <w:rPr>
                <w:rFonts w:hint="eastAsia" w:ascii="宋体" w:hAnsi="宋体"/>
                <w:snapToGrid w:val="0"/>
                <w:color w:val="auto"/>
                <w:sz w:val="21"/>
                <w:szCs w:val="21"/>
                <w:highlight w:val="none"/>
              </w:rPr>
            </w:pPr>
            <w:r>
              <w:rPr>
                <w:rFonts w:hint="eastAsia" w:ascii="宋体" w:hAnsi="宋体" w:eastAsia="宋体" w:cs="宋体"/>
                <w:color w:val="auto"/>
                <w:sz w:val="21"/>
                <w:szCs w:val="21"/>
                <w:highlight w:val="none"/>
                <w:lang w:val="zh-CN" w:eastAsia="zh-CN"/>
              </w:rPr>
              <w:t>项目负责人资质类别和等级：</w:t>
            </w:r>
            <w:r>
              <w:rPr>
                <w:rFonts w:hint="eastAsia" w:ascii="宋体" w:hAnsi="宋体" w:eastAsia="宋体" w:cs="宋体"/>
                <w:color w:val="000000"/>
                <w:kern w:val="0"/>
                <w:sz w:val="22"/>
                <w:szCs w:val="22"/>
                <w:u w:val="none"/>
                <w:lang w:val="en-US" w:eastAsia="zh-CN" w:bidi="ar-SA"/>
              </w:rPr>
              <w:t>水利水电二级建造师及以上</w:t>
            </w:r>
            <w:r>
              <w:rPr>
                <w:rFonts w:hint="eastAsia" w:ascii="宋体" w:hAnsi="宋体" w:cs="宋体"/>
                <w:color w:val="000000"/>
                <w:kern w:val="0"/>
                <w:sz w:val="22"/>
                <w:szCs w:val="22"/>
                <w:u w:val="none"/>
                <w:lang w:val="en-US" w:eastAsia="zh-CN" w:bidi="ar-SA"/>
              </w:rPr>
              <w:t>；</w:t>
            </w:r>
          </w:p>
        </w:tc>
      </w:tr>
      <w:tr w14:paraId="5AFFFE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14:paraId="385E5AD5">
            <w:pPr>
              <w:adjustRightInd w:val="0"/>
              <w:snapToGrid w:val="0"/>
              <w:spacing w:line="400" w:lineRule="exact"/>
              <w:rPr>
                <w:rFonts w:hint="eastAsia" w:ascii="宋体" w:hAnsi="宋体" w:eastAsia="宋体" w:cs="宋体"/>
                <w:sz w:val="21"/>
                <w:szCs w:val="21"/>
                <w:lang w:val="en-US" w:eastAsia="zh-CN" w:bidi="ar-SA"/>
              </w:rPr>
            </w:pPr>
            <w:r>
              <w:rPr>
                <w:rFonts w:hint="eastAsia" w:ascii="宋体" w:hAnsi="宋体" w:eastAsia="宋体" w:cs="宋体"/>
                <w:sz w:val="21"/>
                <w:szCs w:val="21"/>
                <w:highlight w:val="white"/>
              </w:rPr>
              <w:t>是否接受联合体投标</w:t>
            </w:r>
          </w:p>
        </w:tc>
        <w:tc>
          <w:tcPr>
            <w:tcW w:w="7727" w:type="dxa"/>
            <w:gridSpan w:val="3"/>
            <w:noWrap w:val="0"/>
            <w:vAlign w:val="center"/>
          </w:tcPr>
          <w:p w14:paraId="6072B0E2">
            <w:pPr>
              <w:adjustRightInd w:val="0"/>
              <w:snapToGrid w:val="0"/>
              <w:spacing w:line="400" w:lineRule="exact"/>
              <w:rPr>
                <w:rFonts w:hint="eastAsia" w:ascii="宋体" w:hAnsi="宋体" w:eastAsia="宋体" w:cs="宋体"/>
                <w:sz w:val="21"/>
                <w:szCs w:val="21"/>
                <w:lang w:val="zh-CN" w:eastAsia="zh-CN" w:bidi="ar-SA"/>
              </w:rPr>
            </w:pPr>
            <w:r>
              <w:rPr>
                <w:rFonts w:hint="eastAsia" w:ascii="宋体" w:hAnsi="宋体" w:eastAsia="宋体" w:cs="宋体"/>
                <w:snapToGrid w:val="0"/>
                <w:sz w:val="21"/>
                <w:szCs w:val="21"/>
                <w:lang w:val="en-US" w:eastAsia="zh-CN"/>
              </w:rPr>
              <w:t>不接受</w:t>
            </w:r>
          </w:p>
        </w:tc>
      </w:tr>
      <w:tr w14:paraId="15CB2A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8" w:hRule="atLeast"/>
          <w:jc w:val="center"/>
        </w:trPr>
        <w:tc>
          <w:tcPr>
            <w:tcW w:w="1774" w:type="dxa"/>
            <w:noWrap w:val="0"/>
            <w:vAlign w:val="center"/>
          </w:tcPr>
          <w:p w14:paraId="37B70D3C">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招标控制价</w:t>
            </w:r>
          </w:p>
        </w:tc>
        <w:tc>
          <w:tcPr>
            <w:tcW w:w="7727" w:type="dxa"/>
            <w:gridSpan w:val="3"/>
            <w:noWrap w:val="0"/>
            <w:vAlign w:val="center"/>
          </w:tcPr>
          <w:p w14:paraId="28BF960D">
            <w:pPr>
              <w:adjustRightInd w:val="0"/>
              <w:snapToGrid w:val="0"/>
              <w:spacing w:line="240" w:lineRule="atLeast"/>
              <w:rPr>
                <w:rFonts w:hint="eastAsia" w:ascii="宋体" w:hAnsi="宋体"/>
                <w:snapToGrid w:val="0"/>
                <w:color w:val="auto"/>
                <w:sz w:val="21"/>
                <w:szCs w:val="21"/>
                <w:highlight w:val="none"/>
              </w:rPr>
            </w:pPr>
            <w:r>
              <w:rPr>
                <w:rFonts w:hint="eastAsia" w:ascii="宋体" w:hAnsi="宋体" w:cs="宋体"/>
                <w:sz w:val="21"/>
                <w:szCs w:val="21"/>
                <w:highlight w:val="white"/>
                <w:lang w:val="en-US" w:eastAsia="zh-CN"/>
              </w:rPr>
              <w:t>732645.72</w:t>
            </w:r>
            <w:r>
              <w:rPr>
                <w:rFonts w:hint="eastAsia" w:ascii="宋体" w:hAnsi="宋体"/>
                <w:snapToGrid w:val="0"/>
                <w:color w:val="auto"/>
                <w:sz w:val="21"/>
                <w:szCs w:val="21"/>
                <w:highlight w:val="none"/>
                <w:lang w:val="en-US" w:eastAsia="zh-CN"/>
              </w:rPr>
              <w:t>元</w:t>
            </w:r>
            <w:r>
              <w:rPr>
                <w:rFonts w:hint="eastAsia" w:ascii="宋体" w:hAnsi="宋体"/>
                <w:snapToGrid w:val="0"/>
                <w:color w:val="auto"/>
                <w:sz w:val="21"/>
                <w:szCs w:val="21"/>
                <w:highlight w:val="none"/>
              </w:rPr>
              <w:t>（投标报价超过控制总价的作废标处理）</w:t>
            </w:r>
          </w:p>
        </w:tc>
      </w:tr>
      <w:tr w14:paraId="749463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774" w:type="dxa"/>
            <w:tcBorders>
              <w:bottom w:val="single" w:color="auto" w:sz="4" w:space="0"/>
            </w:tcBorders>
            <w:noWrap w:val="0"/>
            <w:vAlign w:val="center"/>
          </w:tcPr>
          <w:p w14:paraId="70A7D614">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招标工期</w:t>
            </w:r>
          </w:p>
        </w:tc>
        <w:tc>
          <w:tcPr>
            <w:tcW w:w="3218" w:type="dxa"/>
            <w:tcBorders>
              <w:bottom w:val="single" w:color="auto" w:sz="4" w:space="0"/>
            </w:tcBorders>
            <w:noWrap w:val="0"/>
            <w:vAlign w:val="center"/>
          </w:tcPr>
          <w:p w14:paraId="5B9CE892">
            <w:pPr>
              <w:adjustRightInd w:val="0"/>
              <w:snapToGrid w:val="0"/>
              <w:spacing w:line="240" w:lineRule="atLeast"/>
              <w:ind w:firstLine="0" w:firstLineChars="0"/>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60日历天</w:t>
            </w:r>
          </w:p>
        </w:tc>
        <w:tc>
          <w:tcPr>
            <w:tcW w:w="2268" w:type="dxa"/>
            <w:tcBorders>
              <w:bottom w:val="single" w:color="auto" w:sz="4" w:space="0"/>
            </w:tcBorders>
            <w:noWrap w:val="0"/>
            <w:vAlign w:val="center"/>
          </w:tcPr>
          <w:p w14:paraId="31614105">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质量要求</w:t>
            </w:r>
          </w:p>
        </w:tc>
        <w:tc>
          <w:tcPr>
            <w:tcW w:w="2241" w:type="dxa"/>
            <w:tcBorders>
              <w:bottom w:val="single" w:color="auto" w:sz="4" w:space="0"/>
            </w:tcBorders>
            <w:noWrap w:val="0"/>
            <w:vAlign w:val="center"/>
          </w:tcPr>
          <w:p w14:paraId="56032546">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合格</w:t>
            </w:r>
          </w:p>
        </w:tc>
      </w:tr>
      <w:tr w14:paraId="289128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1774" w:type="dxa"/>
            <w:noWrap w:val="0"/>
            <w:vAlign w:val="center"/>
          </w:tcPr>
          <w:p w14:paraId="66F2DC43">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现场踏勘</w:t>
            </w:r>
          </w:p>
        </w:tc>
        <w:tc>
          <w:tcPr>
            <w:tcW w:w="7727" w:type="dxa"/>
            <w:gridSpan w:val="3"/>
            <w:tcBorders>
              <w:bottom w:val="single" w:color="auto" w:sz="8" w:space="0"/>
            </w:tcBorders>
            <w:noWrap w:val="0"/>
            <w:vAlign w:val="center"/>
          </w:tcPr>
          <w:p w14:paraId="7219F57D">
            <w:pPr>
              <w:adjustRightInd w:val="0"/>
              <w:snapToGrid w:val="0"/>
              <w:spacing w:line="240" w:lineRule="atLeast"/>
              <w:jc w:val="both"/>
              <w:rPr>
                <w:rFonts w:hint="default"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现场踏勘投标人与招标人联系后自行前往</w:t>
            </w:r>
            <w:r>
              <w:rPr>
                <w:rFonts w:hint="eastAsia" w:ascii="宋体" w:hAnsi="宋体"/>
                <w:snapToGrid w:val="0"/>
                <w:color w:val="auto"/>
                <w:sz w:val="21"/>
                <w:szCs w:val="21"/>
                <w:highlight w:val="none"/>
                <w:lang w:eastAsia="zh-CN"/>
              </w:rPr>
              <w:t>，</w:t>
            </w:r>
            <w:r>
              <w:rPr>
                <w:rFonts w:hint="eastAsia" w:ascii="宋体" w:hAnsi="宋体"/>
                <w:snapToGrid w:val="0"/>
                <w:color w:val="auto"/>
                <w:sz w:val="21"/>
                <w:szCs w:val="21"/>
                <w:highlight w:val="none"/>
                <w:lang w:val="en-US" w:eastAsia="zh-CN"/>
              </w:rPr>
              <w:t>费用自理。</w:t>
            </w:r>
          </w:p>
        </w:tc>
      </w:tr>
      <w:tr w14:paraId="56C11D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774" w:type="dxa"/>
            <w:noWrap w:val="0"/>
            <w:vAlign w:val="center"/>
          </w:tcPr>
          <w:p w14:paraId="30AF21F6">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投标有效期</w:t>
            </w:r>
          </w:p>
        </w:tc>
        <w:tc>
          <w:tcPr>
            <w:tcW w:w="7727" w:type="dxa"/>
            <w:gridSpan w:val="3"/>
            <w:noWrap w:val="0"/>
            <w:vAlign w:val="center"/>
          </w:tcPr>
          <w:p w14:paraId="01BDEC9A">
            <w:pPr>
              <w:adjustRightInd w:val="0"/>
              <w:snapToGrid w:val="0"/>
              <w:spacing w:line="240" w:lineRule="atLeast"/>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投标截止日后</w:t>
            </w:r>
            <w:r>
              <w:rPr>
                <w:rFonts w:hint="eastAsia" w:ascii="宋体" w:hAnsi="宋体"/>
                <w:snapToGrid w:val="0"/>
                <w:color w:val="auto"/>
                <w:sz w:val="21"/>
                <w:szCs w:val="21"/>
                <w:highlight w:val="none"/>
                <w:u w:val="single"/>
              </w:rPr>
              <w:t xml:space="preserve"> 45 </w:t>
            </w:r>
            <w:r>
              <w:rPr>
                <w:rFonts w:hint="eastAsia" w:ascii="宋体" w:hAnsi="宋体"/>
                <w:snapToGrid w:val="0"/>
                <w:color w:val="auto"/>
                <w:sz w:val="21"/>
                <w:szCs w:val="21"/>
                <w:highlight w:val="none"/>
              </w:rPr>
              <w:t>日内有效</w:t>
            </w:r>
          </w:p>
        </w:tc>
      </w:tr>
      <w:tr w14:paraId="34CDDD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8" w:hRule="atLeast"/>
          <w:jc w:val="center"/>
        </w:trPr>
        <w:tc>
          <w:tcPr>
            <w:tcW w:w="1774" w:type="dxa"/>
            <w:noWrap w:val="0"/>
            <w:vAlign w:val="center"/>
          </w:tcPr>
          <w:p w14:paraId="23B3F271">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投标文件份数</w:t>
            </w:r>
          </w:p>
        </w:tc>
        <w:tc>
          <w:tcPr>
            <w:tcW w:w="7727" w:type="dxa"/>
            <w:gridSpan w:val="3"/>
            <w:noWrap w:val="0"/>
            <w:vAlign w:val="center"/>
          </w:tcPr>
          <w:p w14:paraId="2C681853">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一式</w:t>
            </w:r>
            <w:r>
              <w:rPr>
                <w:rFonts w:hint="eastAsia" w:ascii="宋体" w:hAnsi="宋体"/>
                <w:snapToGrid w:val="0"/>
                <w:color w:val="auto"/>
                <w:sz w:val="21"/>
                <w:szCs w:val="21"/>
                <w:highlight w:val="none"/>
                <w:lang w:val="en-US" w:eastAsia="zh-CN"/>
              </w:rPr>
              <w:t>叁</w:t>
            </w:r>
            <w:r>
              <w:rPr>
                <w:rFonts w:hint="eastAsia" w:ascii="宋体" w:hAnsi="宋体"/>
                <w:snapToGrid w:val="0"/>
                <w:color w:val="auto"/>
                <w:sz w:val="21"/>
                <w:szCs w:val="21"/>
                <w:highlight w:val="none"/>
              </w:rPr>
              <w:t>份，正本壹套、副本</w:t>
            </w:r>
            <w:r>
              <w:rPr>
                <w:rFonts w:hint="eastAsia" w:ascii="宋体" w:hAnsi="宋体"/>
                <w:snapToGrid w:val="0"/>
                <w:color w:val="auto"/>
                <w:sz w:val="21"/>
                <w:szCs w:val="21"/>
                <w:highlight w:val="none"/>
                <w:lang w:val="en-US" w:eastAsia="zh-CN"/>
              </w:rPr>
              <w:t>贰</w:t>
            </w:r>
            <w:r>
              <w:rPr>
                <w:rFonts w:hint="eastAsia" w:ascii="宋体" w:hAnsi="宋体"/>
                <w:snapToGrid w:val="0"/>
                <w:color w:val="auto"/>
                <w:sz w:val="21"/>
                <w:szCs w:val="21"/>
                <w:highlight w:val="none"/>
              </w:rPr>
              <w:t>套。密封（注：密封袋骑缝处加盖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企业公章）、标志（注：密封袋上注明工程名称、</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企业全称并加盖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企业公章和法定代表人印章）后在投标截止时间前一次性递交，投标时间截止后不再接受补充资料（未能按要求提供以上密封资料的，招标人将拒绝其参与投标）。</w:t>
            </w:r>
          </w:p>
        </w:tc>
      </w:tr>
      <w:tr w14:paraId="7FF3FA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774" w:type="dxa"/>
            <w:noWrap w:val="0"/>
            <w:vAlign w:val="center"/>
          </w:tcPr>
          <w:p w14:paraId="18221DDF">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投标文件递交地点及截至时间</w:t>
            </w:r>
          </w:p>
        </w:tc>
        <w:tc>
          <w:tcPr>
            <w:tcW w:w="7727" w:type="dxa"/>
            <w:gridSpan w:val="3"/>
            <w:noWrap w:val="0"/>
            <w:vAlign w:val="center"/>
          </w:tcPr>
          <w:p w14:paraId="79E54B9C">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接收人：</w:t>
            </w:r>
            <w:r>
              <w:rPr>
                <w:rFonts w:hint="eastAsia" w:ascii="宋体" w:hAnsi="宋体"/>
                <w:snapToGrid w:val="0"/>
                <w:color w:val="auto"/>
                <w:sz w:val="21"/>
                <w:szCs w:val="21"/>
                <w:highlight w:val="none"/>
                <w:lang w:eastAsia="zh-CN"/>
              </w:rPr>
              <w:t>江苏利诚全过程工程咨询有限公司</w:t>
            </w:r>
          </w:p>
          <w:p w14:paraId="55E3F108">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  点：常州市金坛区市民中心C栋5楼</w:t>
            </w:r>
            <w:r>
              <w:rPr>
                <w:rFonts w:hint="eastAsia" w:ascii="宋体" w:hAnsi="宋体"/>
                <w:snapToGrid w:val="0"/>
                <w:color w:val="auto"/>
                <w:sz w:val="21"/>
                <w:szCs w:val="21"/>
                <w:highlight w:val="none"/>
                <w:lang w:val="en-US" w:eastAsia="zh-CN"/>
              </w:rPr>
              <w:t>504</w:t>
            </w:r>
            <w:r>
              <w:rPr>
                <w:rFonts w:hint="eastAsia" w:ascii="宋体" w:hAnsi="宋体"/>
                <w:snapToGrid w:val="0"/>
                <w:color w:val="auto"/>
                <w:sz w:val="21"/>
                <w:szCs w:val="21"/>
                <w:highlight w:val="none"/>
              </w:rPr>
              <w:t>室（常州市金坛区金山路168号）</w:t>
            </w:r>
          </w:p>
          <w:p w14:paraId="2CEA3E2E">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4月23日上午09：30</w:t>
            </w:r>
          </w:p>
        </w:tc>
      </w:tr>
      <w:tr w14:paraId="3DA175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1774" w:type="dxa"/>
            <w:noWrap w:val="0"/>
            <w:vAlign w:val="center"/>
          </w:tcPr>
          <w:p w14:paraId="5DEE8140">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        标</w:t>
            </w:r>
          </w:p>
        </w:tc>
        <w:tc>
          <w:tcPr>
            <w:tcW w:w="7727" w:type="dxa"/>
            <w:gridSpan w:val="3"/>
            <w:noWrap w:val="0"/>
            <w:vAlign w:val="center"/>
          </w:tcPr>
          <w:p w14:paraId="2D32AA4F">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地点：常州市金坛区市民中心C栋5楼</w:t>
            </w:r>
            <w:r>
              <w:rPr>
                <w:rFonts w:hint="eastAsia" w:ascii="宋体" w:hAnsi="宋体"/>
                <w:snapToGrid w:val="0"/>
                <w:color w:val="auto"/>
                <w:sz w:val="21"/>
                <w:szCs w:val="21"/>
                <w:highlight w:val="none"/>
                <w:lang w:val="en-US" w:eastAsia="zh-CN"/>
              </w:rPr>
              <w:t>504</w:t>
            </w:r>
            <w:r>
              <w:rPr>
                <w:rFonts w:hint="eastAsia" w:ascii="宋体" w:hAnsi="宋体"/>
                <w:snapToGrid w:val="0"/>
                <w:color w:val="auto"/>
                <w:sz w:val="21"/>
                <w:szCs w:val="21"/>
                <w:highlight w:val="none"/>
              </w:rPr>
              <w:t>室（常州市金坛区金山路168号）</w:t>
            </w:r>
          </w:p>
          <w:p w14:paraId="155BB7B9">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23日上午09：30</w:t>
            </w:r>
          </w:p>
        </w:tc>
      </w:tr>
      <w:tr w14:paraId="64AD11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774" w:type="dxa"/>
            <w:noWrap w:val="0"/>
            <w:vAlign w:val="center"/>
          </w:tcPr>
          <w:p w14:paraId="6CE4A92C">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评标办法</w:t>
            </w:r>
          </w:p>
        </w:tc>
        <w:tc>
          <w:tcPr>
            <w:tcW w:w="7727" w:type="dxa"/>
            <w:gridSpan w:val="3"/>
            <w:noWrap w:val="0"/>
            <w:vAlign w:val="center"/>
          </w:tcPr>
          <w:p w14:paraId="3C99F033">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详见第四章：评标细则</w:t>
            </w:r>
          </w:p>
        </w:tc>
      </w:tr>
      <w:tr w14:paraId="378E6F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14:paraId="2A6DF7E2">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资格审查</w:t>
            </w:r>
          </w:p>
        </w:tc>
        <w:tc>
          <w:tcPr>
            <w:tcW w:w="7727" w:type="dxa"/>
            <w:gridSpan w:val="3"/>
            <w:noWrap w:val="0"/>
            <w:vAlign w:val="center"/>
          </w:tcPr>
          <w:p w14:paraId="35B38F56">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本项目采用资格后审形式，具体详见第四章。</w:t>
            </w:r>
          </w:p>
        </w:tc>
      </w:tr>
      <w:tr w14:paraId="5727C0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14:paraId="68E3FB46">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付款方式</w:t>
            </w:r>
          </w:p>
        </w:tc>
        <w:tc>
          <w:tcPr>
            <w:tcW w:w="7727" w:type="dxa"/>
            <w:gridSpan w:val="3"/>
            <w:noWrap w:val="0"/>
            <w:vAlign w:val="center"/>
          </w:tcPr>
          <w:p w14:paraId="1FDD065D">
            <w:pPr>
              <w:spacing w:line="390" w:lineRule="exact"/>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工程竣工验收合格后付至合同价款的50%，竣工验收合格后第二年且经审计部门审计后付至审定价款的80% ，竣工验收合格后第三年付清余款（无息）。</w:t>
            </w:r>
            <w:r>
              <w:rPr>
                <w:rFonts w:hint="eastAsia" w:ascii="宋体" w:hAnsi="宋体" w:eastAsia="宋体" w:cs="Times New Roman"/>
                <w:color w:val="auto"/>
                <w:sz w:val="21"/>
                <w:szCs w:val="21"/>
                <w:lang w:val="en-US" w:eastAsia="zh-CN"/>
              </w:rPr>
              <w:t>注：在支付上述工程款时，承包人应开具合法增值税发票（税率9%），提交给发包人。</w:t>
            </w:r>
          </w:p>
        </w:tc>
      </w:tr>
      <w:tr w14:paraId="78C192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14:paraId="7428C693">
            <w:pPr>
              <w:adjustRightInd w:val="0"/>
              <w:snapToGrid w:val="0"/>
              <w:spacing w:line="300" w:lineRule="auto"/>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履约保证金</w:t>
            </w:r>
          </w:p>
        </w:tc>
        <w:tc>
          <w:tcPr>
            <w:tcW w:w="7727" w:type="dxa"/>
            <w:gridSpan w:val="3"/>
            <w:noWrap w:val="0"/>
            <w:vAlign w:val="center"/>
          </w:tcPr>
          <w:p w14:paraId="3744C60D">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中标人需在签订合同前将中标价款的10%作为履约保证金；</w:t>
            </w:r>
          </w:p>
          <w:p w14:paraId="1073AD5E">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以现金或</w:t>
            </w:r>
            <w:r>
              <w:rPr>
                <w:rFonts w:hint="eastAsia" w:ascii="宋体" w:hAnsi="宋体" w:eastAsia="宋体" w:cs="Times New Roman"/>
                <w:snapToGrid w:val="0"/>
                <w:color w:val="auto"/>
                <w:sz w:val="21"/>
                <w:szCs w:val="21"/>
                <w:highlight w:val="none"/>
                <w:lang w:val="en-US" w:eastAsia="zh-CN"/>
              </w:rPr>
              <w:t>转账</w:t>
            </w:r>
            <w:r>
              <w:rPr>
                <w:rFonts w:hint="eastAsia" w:ascii="宋体" w:hAnsi="宋体" w:eastAsia="宋体" w:cs="Times New Roman"/>
                <w:snapToGrid w:val="0"/>
                <w:color w:val="auto"/>
                <w:sz w:val="21"/>
                <w:szCs w:val="21"/>
                <w:highlight w:val="none"/>
              </w:rPr>
              <w:t>的形式</w:t>
            </w:r>
            <w:r>
              <w:rPr>
                <w:rFonts w:hint="eastAsia" w:ascii="宋体" w:hAnsi="宋体" w:eastAsia="宋体" w:cs="Times New Roman"/>
                <w:snapToGrid w:val="0"/>
                <w:color w:val="auto"/>
                <w:sz w:val="21"/>
                <w:szCs w:val="21"/>
                <w:highlight w:val="none"/>
                <w:lang w:eastAsia="zh-CN"/>
              </w:rPr>
              <w:t>，</w:t>
            </w:r>
            <w:r>
              <w:rPr>
                <w:rFonts w:hint="eastAsia" w:ascii="宋体" w:hAnsi="宋体" w:eastAsia="宋体" w:cs="Times New Roman"/>
                <w:snapToGrid w:val="0"/>
                <w:color w:val="auto"/>
                <w:sz w:val="21"/>
                <w:szCs w:val="21"/>
                <w:highlight w:val="none"/>
                <w:lang w:val="en-US" w:eastAsia="zh-CN"/>
              </w:rPr>
              <w:t>工程竣工验收合格后一次性退还（不计息）</w:t>
            </w:r>
            <w:r>
              <w:rPr>
                <w:rFonts w:hint="eastAsia" w:ascii="宋体" w:hAnsi="宋体" w:eastAsia="宋体" w:cs="Times New Roman"/>
                <w:snapToGrid w:val="0"/>
                <w:color w:val="auto"/>
                <w:sz w:val="21"/>
                <w:szCs w:val="21"/>
                <w:highlight w:val="none"/>
              </w:rPr>
              <w:t>。</w:t>
            </w:r>
          </w:p>
        </w:tc>
      </w:tr>
      <w:tr w14:paraId="3A5328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14:paraId="6ADE656F">
            <w:pPr>
              <w:adjustRightInd w:val="0"/>
              <w:snapToGrid w:val="0"/>
              <w:spacing w:line="400" w:lineRule="exac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注意事项</w:t>
            </w:r>
          </w:p>
          <w:p w14:paraId="0083871B">
            <w:pPr>
              <w:adjustRightInd w:val="0"/>
              <w:snapToGrid w:val="0"/>
              <w:spacing w:line="300" w:lineRule="auto"/>
              <w:jc w:val="center"/>
              <w:rPr>
                <w:rFonts w:hint="eastAsia" w:ascii="宋体" w:hAnsi="宋体"/>
                <w:snapToGrid w:val="0"/>
                <w:color w:val="auto"/>
                <w:sz w:val="21"/>
                <w:szCs w:val="21"/>
                <w:highlight w:val="none"/>
              </w:rPr>
            </w:pPr>
          </w:p>
        </w:tc>
        <w:tc>
          <w:tcPr>
            <w:tcW w:w="7727" w:type="dxa"/>
            <w:gridSpan w:val="3"/>
            <w:noWrap w:val="0"/>
            <w:vAlign w:val="center"/>
          </w:tcPr>
          <w:p w14:paraId="4B9E0D25">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1、如法定代表人出席开标会，需持本人第二代身份证原件并提交法定代表人身份证明文件原件（除投标书中另外单独提供一份）进行身份核验；</w:t>
            </w:r>
          </w:p>
          <w:p w14:paraId="60DDF7D3">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2、如委托代理人出席开标会，需持法定代表人授权委托书原件（除投标书中另外单独提供一份）、本人第二代身份证原件及复印件（加盖投标单位公章）进行身份核验，否则招标人将拒绝其投标。</w:t>
            </w:r>
          </w:p>
          <w:p w14:paraId="023E3469">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投标人应根据招标文件的有关要求，自行查看现场，结合施工现场实际情况及拟定的施工方案或施工组织设计，并充分考虑地块平整过程中各种措施（安全文明施工等），自主报价，确保施工顺利进行。相关费用应综合考虑在投标报价中。</w:t>
            </w:r>
          </w:p>
          <w:p w14:paraId="5A8E0A3E">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4、</w:t>
            </w:r>
            <w:r>
              <w:rPr>
                <w:rFonts w:hint="eastAsia" w:ascii="宋体" w:hAnsi="宋体" w:eastAsia="宋体" w:cs="宋体"/>
                <w:sz w:val="21"/>
                <w:szCs w:val="21"/>
                <w:shd w:val="clear" w:color="auto" w:fill="FFFFFF"/>
              </w:rPr>
              <w:t>各投标单位应认真自行踏勘施工现场的地形、道路、地下和周围环境，了解一切可能影响施工、投标报价的因素，且对自行获得的资料、信息的正确性负全部责任，因此所需费用自行承担。一旦中标，不得以不完全了解施工现场为由而提出额外的赔偿、补偿、增加费用和延长工期。</w:t>
            </w:r>
          </w:p>
          <w:p w14:paraId="2FEB5CDA">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5、</w:t>
            </w:r>
            <w:r>
              <w:rPr>
                <w:rFonts w:hint="eastAsia" w:ascii="宋体" w:hAnsi="宋体"/>
                <w:snapToGrid w:val="0"/>
                <w:color w:val="auto"/>
                <w:sz w:val="21"/>
                <w:szCs w:val="21"/>
                <w:highlight w:val="none"/>
              </w:rPr>
              <w:t>关于结算审核费：本工程结算审核的核减费费率控制在8%内（含8%）。如12%≥核减费费率＞8%时，审核费用投标人必须承担一半；核减费费率＞12%时，该工程所有审计费均由投标人承担。以上费用不累进。</w:t>
            </w:r>
          </w:p>
          <w:p w14:paraId="19E9DCBA">
            <w:pPr>
              <w:adjustRightInd w:val="0"/>
              <w:snapToGrid w:val="0"/>
              <w:spacing w:line="300" w:lineRule="auto"/>
              <w:rPr>
                <w:rFonts w:hint="eastAsia" w:ascii="宋体" w:hAnsi="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6、投标单位进入开标场所时需规范佩戴口罩（除带呼吸阀类型口罩），进场后保持安全距离，分散等候，不扎堆聚集。</w:t>
            </w:r>
          </w:p>
          <w:p w14:paraId="26BA4231">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7、投标单位只允许一人进去开标现场。</w:t>
            </w:r>
          </w:p>
          <w:p w14:paraId="1B2E9640">
            <w:pPr>
              <w:adjustRightInd w:val="0"/>
              <w:snapToGrid w:val="0"/>
              <w:spacing w:line="300" w:lineRule="auto"/>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8、本工程的招标代理费由中标单位支付，金额按相关文件和约定计取，请投标单位投标报价时自行考虑。中标单位在领取中标通知书时一次性现金支付给招标代理单位。</w:t>
            </w:r>
          </w:p>
        </w:tc>
      </w:tr>
    </w:tbl>
    <w:p w14:paraId="76B60F11">
      <w:pPr>
        <w:pStyle w:val="4"/>
        <w:jc w:val="center"/>
        <w:rPr>
          <w:rFonts w:hint="eastAsia" w:ascii="宋体" w:hAnsi="宋体" w:eastAsia="宋体"/>
          <w:b/>
          <w:snapToGrid w:val="0"/>
          <w:color w:val="auto"/>
          <w:sz w:val="28"/>
          <w:szCs w:val="28"/>
          <w:highlight w:val="none"/>
        </w:rPr>
      </w:pPr>
    </w:p>
    <w:p w14:paraId="6EBD296F">
      <w:pPr>
        <w:pStyle w:val="4"/>
        <w:jc w:val="center"/>
        <w:rPr>
          <w:rFonts w:hint="eastAsia" w:ascii="宋体" w:hAnsi="宋体" w:eastAsia="宋体"/>
          <w:b/>
          <w:snapToGrid w:val="0"/>
          <w:color w:val="auto"/>
          <w:sz w:val="28"/>
          <w:szCs w:val="28"/>
          <w:highlight w:val="none"/>
        </w:rPr>
      </w:pPr>
    </w:p>
    <w:p w14:paraId="65C2C359">
      <w:pPr>
        <w:rPr>
          <w:rFonts w:hint="eastAsia"/>
          <w:color w:val="auto"/>
          <w:highlight w:val="none"/>
        </w:rPr>
      </w:pPr>
    </w:p>
    <w:p w14:paraId="1BD0EF6D">
      <w:pPr>
        <w:rPr>
          <w:rFonts w:hint="eastAsia"/>
          <w:color w:val="auto"/>
          <w:highlight w:val="none"/>
        </w:rPr>
      </w:pPr>
    </w:p>
    <w:p w14:paraId="2F9BFF9B">
      <w:pPr>
        <w:rPr>
          <w:rFonts w:hint="eastAsia"/>
          <w:color w:val="auto"/>
          <w:highlight w:val="none"/>
        </w:rPr>
      </w:pPr>
    </w:p>
    <w:p w14:paraId="7E363A3A">
      <w:pPr>
        <w:rPr>
          <w:rFonts w:hint="eastAsia"/>
          <w:color w:val="auto"/>
          <w:highlight w:val="none"/>
        </w:rPr>
      </w:pPr>
    </w:p>
    <w:p w14:paraId="5FC54347">
      <w:pPr>
        <w:rPr>
          <w:rFonts w:hint="eastAsia"/>
          <w:color w:val="auto"/>
          <w:highlight w:val="none"/>
        </w:rPr>
      </w:pPr>
    </w:p>
    <w:p w14:paraId="3B230F07">
      <w:pPr>
        <w:rPr>
          <w:rFonts w:hint="eastAsia"/>
          <w:color w:val="auto"/>
          <w:highlight w:val="none"/>
        </w:rPr>
      </w:pPr>
    </w:p>
    <w:p w14:paraId="2A10DDC5">
      <w:pPr>
        <w:pStyle w:val="4"/>
        <w:jc w:val="center"/>
        <w:rPr>
          <w:rFonts w:hint="eastAsia" w:ascii="宋体" w:hAnsi="宋体" w:eastAsia="宋体"/>
          <w:b/>
          <w:snapToGrid w:val="0"/>
          <w:color w:val="auto"/>
          <w:sz w:val="28"/>
          <w:szCs w:val="28"/>
          <w:highlight w:val="none"/>
        </w:rPr>
      </w:pPr>
      <w:bookmarkStart w:id="2" w:name="_Toc11055313"/>
      <w:bookmarkStart w:id="3" w:name="_Toc32466"/>
      <w:r>
        <w:rPr>
          <w:rFonts w:hint="eastAsia" w:ascii="宋体" w:hAnsi="宋体" w:eastAsia="宋体"/>
          <w:b/>
          <w:snapToGrid w:val="0"/>
          <w:color w:val="auto"/>
          <w:sz w:val="28"/>
          <w:szCs w:val="28"/>
          <w:highlight w:val="none"/>
        </w:rPr>
        <w:t>一、总    则</w:t>
      </w:r>
      <w:bookmarkEnd w:id="2"/>
      <w:bookmarkEnd w:id="3"/>
    </w:p>
    <w:p w14:paraId="1F4847B3">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（一）工程概况：</w:t>
      </w:r>
    </w:p>
    <w:p w14:paraId="62B386D3">
      <w:pPr>
        <w:adjustRightInd w:val="0"/>
        <w:snapToGrid w:val="0"/>
        <w:spacing w:line="360" w:lineRule="auto"/>
        <w:ind w:firstLine="495" w:firstLineChars="236"/>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rPr>
        <w:t>1、招标范围</w:t>
      </w:r>
    </w:p>
    <w:p w14:paraId="72F430DF">
      <w:pPr>
        <w:adjustRightInd w:val="0"/>
        <w:snapToGrid w:val="0"/>
        <w:spacing w:line="360" w:lineRule="auto"/>
        <w:ind w:left="480" w:leftChars="240" w:firstLine="441" w:firstLineChars="210"/>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u w:val="single"/>
          <w:lang w:val="en-US" w:eastAsia="zh-CN"/>
        </w:rPr>
        <w:t>图纸及</w:t>
      </w:r>
      <w:r>
        <w:rPr>
          <w:rFonts w:hint="eastAsia" w:ascii="宋体" w:hAnsi="宋体"/>
          <w:snapToGrid w:val="0"/>
          <w:color w:val="auto"/>
          <w:sz w:val="21"/>
          <w:szCs w:val="21"/>
          <w:highlight w:val="none"/>
          <w:u w:val="single"/>
        </w:rPr>
        <w:t xml:space="preserve">工程量清单范围内的全部工程 </w:t>
      </w:r>
      <w:r>
        <w:rPr>
          <w:rFonts w:hint="eastAsia" w:ascii="宋体" w:hAnsi="宋体"/>
          <w:bCs/>
          <w:snapToGrid w:val="0"/>
          <w:color w:val="auto"/>
          <w:sz w:val="21"/>
          <w:szCs w:val="21"/>
          <w:highlight w:val="none"/>
        </w:rPr>
        <w:t>。</w:t>
      </w:r>
    </w:p>
    <w:p w14:paraId="15FACFB7">
      <w:pPr>
        <w:adjustRightInd w:val="0"/>
        <w:snapToGrid w:val="0"/>
        <w:spacing w:line="360" w:lineRule="auto"/>
        <w:ind w:firstLine="495" w:firstLineChars="23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2、现场施工条件</w:t>
      </w:r>
    </w:p>
    <w:p w14:paraId="7F5801FF">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(1)</w:t>
      </w:r>
      <w:r>
        <w:rPr>
          <w:rFonts w:hint="eastAsia" w:ascii="宋体" w:hAnsi="宋体"/>
          <w:snapToGrid w:val="0"/>
          <w:color w:val="auto"/>
          <w:sz w:val="21"/>
          <w:szCs w:val="21"/>
          <w:highlight w:val="none"/>
        </w:rPr>
        <w:t>建设用地面积</w:t>
      </w:r>
      <w:r>
        <w:rPr>
          <w:rFonts w:hint="eastAsia" w:ascii="宋体" w:hAnsi="宋体"/>
          <w:snapToGrid w:val="0"/>
          <w:color w:val="auto"/>
          <w:sz w:val="21"/>
          <w:szCs w:val="21"/>
          <w:highlight w:val="none"/>
          <w:u w:val="single"/>
        </w:rPr>
        <w:t xml:space="preserve">           已批准             </w:t>
      </w:r>
      <w:r>
        <w:rPr>
          <w:rFonts w:hint="eastAsia" w:ascii="宋体" w:hAnsi="宋体"/>
          <w:snapToGrid w:val="0"/>
          <w:color w:val="auto"/>
          <w:sz w:val="21"/>
          <w:szCs w:val="21"/>
          <w:highlight w:val="none"/>
        </w:rPr>
        <w:t>；</w:t>
      </w:r>
    </w:p>
    <w:p w14:paraId="5B32FE50">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(2)</w:t>
      </w:r>
      <w:r>
        <w:rPr>
          <w:rFonts w:hint="eastAsia" w:ascii="宋体" w:hAnsi="宋体"/>
          <w:snapToGrid w:val="0"/>
          <w:color w:val="auto"/>
          <w:sz w:val="21"/>
          <w:szCs w:val="21"/>
          <w:highlight w:val="none"/>
        </w:rPr>
        <w:t>场地拆迁及平整情况</w:t>
      </w:r>
      <w:r>
        <w:rPr>
          <w:rFonts w:hint="eastAsia" w:ascii="宋体" w:hAnsi="宋体"/>
          <w:snapToGrid w:val="0"/>
          <w:color w:val="auto"/>
          <w:sz w:val="21"/>
          <w:szCs w:val="21"/>
          <w:highlight w:val="none"/>
          <w:u w:val="single"/>
        </w:rPr>
        <w:t xml:space="preserve">  已具备施工条件        </w:t>
      </w:r>
      <w:r>
        <w:rPr>
          <w:rFonts w:hint="eastAsia" w:ascii="宋体" w:hAnsi="宋体"/>
          <w:snapToGrid w:val="0"/>
          <w:color w:val="auto"/>
          <w:sz w:val="21"/>
          <w:szCs w:val="21"/>
          <w:highlight w:val="none"/>
        </w:rPr>
        <w:t>；</w:t>
      </w:r>
    </w:p>
    <w:p w14:paraId="6D56D418">
      <w:pPr>
        <w:adjustRightInd w:val="0"/>
        <w:snapToGrid w:val="0"/>
        <w:spacing w:line="360" w:lineRule="auto"/>
        <w:rPr>
          <w:rFonts w:hint="eastAsia" w:ascii="宋体" w:hAnsi="宋体"/>
          <w:snapToGrid w:val="0"/>
          <w:color w:val="auto"/>
          <w:sz w:val="21"/>
          <w:szCs w:val="21"/>
          <w:highlight w:val="non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 xml:space="preserve"> (3)</w:t>
      </w:r>
      <w:r>
        <w:rPr>
          <w:rFonts w:hint="eastAsia" w:ascii="宋体" w:hAnsi="宋体"/>
          <w:snapToGrid w:val="0"/>
          <w:color w:val="auto"/>
          <w:sz w:val="21"/>
          <w:szCs w:val="21"/>
          <w:highlight w:val="none"/>
        </w:rPr>
        <w:t>施工用水、电</w:t>
      </w:r>
      <w:r>
        <w:rPr>
          <w:rFonts w:hint="eastAsia" w:ascii="宋体" w:hAnsi="宋体"/>
          <w:snapToGrid w:val="0"/>
          <w:color w:val="auto"/>
          <w:sz w:val="21"/>
          <w:szCs w:val="21"/>
          <w:highlight w:val="none"/>
          <w:u w:val="single"/>
        </w:rPr>
        <w:t xml:space="preserve"> 由中标单位装表计量 ，中标人按规定缴纳费用，上述费用应考虑在投标报价中</w:t>
      </w:r>
      <w:r>
        <w:rPr>
          <w:rFonts w:hint="eastAsia" w:ascii="宋体" w:hAnsi="宋体"/>
          <w:snapToGrid w:val="0"/>
          <w:color w:val="auto"/>
          <w:sz w:val="21"/>
          <w:szCs w:val="21"/>
          <w:highlight w:val="none"/>
        </w:rPr>
        <w:t>；</w:t>
      </w:r>
    </w:p>
    <w:p w14:paraId="56A9D9D0">
      <w:pPr>
        <w:adjustRightInd w:val="0"/>
        <w:snapToGrid w:val="0"/>
        <w:spacing w:line="360" w:lineRule="auto"/>
        <w:ind w:firstLine="567"/>
        <w:jc w:val="both"/>
        <w:rPr>
          <w:rFonts w:hint="eastAsia"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自筹            </w:t>
      </w:r>
      <w:r>
        <w:rPr>
          <w:rFonts w:hint="eastAsia" w:ascii="宋体" w:hAnsi="宋体"/>
          <w:snapToGrid w:val="0"/>
          <w:color w:val="auto"/>
          <w:sz w:val="21"/>
          <w:szCs w:val="21"/>
          <w:highlight w:val="none"/>
        </w:rPr>
        <w:t>。</w:t>
      </w:r>
    </w:p>
    <w:p w14:paraId="61F3D851">
      <w:pPr>
        <w:adjustRightInd w:val="0"/>
        <w:snapToGrid w:val="0"/>
        <w:spacing w:line="360" w:lineRule="auto"/>
        <w:ind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已落实          </w:t>
      </w:r>
      <w:r>
        <w:rPr>
          <w:rFonts w:hint="eastAsia" w:ascii="宋体" w:hAnsi="宋体"/>
          <w:snapToGrid w:val="0"/>
          <w:color w:val="auto"/>
          <w:sz w:val="21"/>
          <w:szCs w:val="21"/>
          <w:highlight w:val="none"/>
        </w:rPr>
        <w:t>。</w:t>
      </w:r>
    </w:p>
    <w:p w14:paraId="173A5173">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 xml:space="preserve">（二）投标费用                                                      </w:t>
      </w:r>
    </w:p>
    <w:p w14:paraId="68CACEDB">
      <w:pPr>
        <w:adjustRightInd w:val="0"/>
        <w:snapToGrid w:val="0"/>
        <w:spacing w:line="360" w:lineRule="auto"/>
        <w:ind w:left="284"/>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2A18E759">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（三）本工程不接受联合体投标</w:t>
      </w:r>
    </w:p>
    <w:p w14:paraId="48C14886">
      <w:pPr>
        <w:pStyle w:val="4"/>
        <w:jc w:val="center"/>
        <w:rPr>
          <w:rFonts w:hint="eastAsia" w:ascii="宋体" w:hAnsi="宋体" w:eastAsia="宋体"/>
          <w:b/>
          <w:snapToGrid w:val="0"/>
          <w:color w:val="auto"/>
          <w:sz w:val="28"/>
          <w:highlight w:val="none"/>
        </w:rPr>
      </w:pPr>
      <w:bookmarkStart w:id="4" w:name="_Toc11055314"/>
      <w:bookmarkStart w:id="5" w:name="_Toc7756"/>
      <w:r>
        <w:rPr>
          <w:rFonts w:hint="eastAsia" w:ascii="宋体" w:hAnsi="宋体" w:eastAsia="宋体"/>
          <w:b/>
          <w:snapToGrid w:val="0"/>
          <w:color w:val="auto"/>
          <w:sz w:val="28"/>
          <w:highlight w:val="none"/>
        </w:rPr>
        <w:t>二、招  标  文  件</w:t>
      </w:r>
      <w:bookmarkEnd w:id="4"/>
      <w:bookmarkEnd w:id="5"/>
    </w:p>
    <w:p w14:paraId="58ED1657">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（四）招标文件的组成</w:t>
      </w:r>
    </w:p>
    <w:p w14:paraId="45C9EC03">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招标文件包括本文件及所有按第（五）、第（六）条发出的修改澄清通知。</w:t>
      </w:r>
    </w:p>
    <w:p w14:paraId="65038621">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投标人应认真审阅招标文件所有的内容，如果投标人的投标文件不能实质性地响应招标文件要求，责任由投标人自负。</w:t>
      </w:r>
    </w:p>
    <w:p w14:paraId="7ED2F7A7">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（五）招标文件的澄清</w:t>
      </w:r>
    </w:p>
    <w:p w14:paraId="0EB008B9">
      <w:pPr>
        <w:tabs>
          <w:tab w:val="left" w:pos="0"/>
          <w:tab w:val="left" w:pos="993"/>
          <w:tab w:val="left" w:pos="1134"/>
        </w:tabs>
        <w:adjustRightInd w:val="0"/>
        <w:snapToGrid w:val="0"/>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14:paraId="4161FEBF">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 投标人在收到招标文件和踏勘现场后，若有疑问需要澄清，应于收到招标文件后</w:t>
      </w:r>
      <w:r>
        <w:rPr>
          <w:rFonts w:hint="eastAsia" w:ascii="宋体" w:hAnsi="宋体"/>
          <w:b/>
          <w:snapToGrid w:val="0"/>
          <w:color w:val="auto"/>
          <w:sz w:val="21"/>
          <w:szCs w:val="21"/>
          <w:highlight w:val="none"/>
          <w:u w:val="single"/>
        </w:rPr>
        <w:t xml:space="preserve">2 </w:t>
      </w:r>
      <w:r>
        <w:rPr>
          <w:rFonts w:hint="eastAsia" w:ascii="宋体" w:hAnsi="宋体"/>
          <w:snapToGrid w:val="0"/>
          <w:color w:val="auto"/>
          <w:sz w:val="21"/>
          <w:szCs w:val="21"/>
          <w:highlight w:val="none"/>
        </w:rPr>
        <w:t>日内以书面形式（包括书面文字、传真、电子邮件等）向招标人提出，招标人将以书面形式予以解答。</w:t>
      </w:r>
    </w:p>
    <w:p w14:paraId="3B79F2A4">
      <w:pPr>
        <w:tabs>
          <w:tab w:val="left" w:pos="284"/>
          <w:tab w:val="left" w:pos="993"/>
          <w:tab w:val="left" w:pos="1134"/>
        </w:tabs>
        <w:adjustRightInd w:val="0"/>
        <w:snapToGrid w:val="0"/>
        <w:spacing w:line="360" w:lineRule="auto"/>
        <w:ind w:left="284" w:leftChars="142" w:firstLine="121" w:firstLineChars="58"/>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投标人在收到招标文件（含工程量清单）和踏勘现场后，若有疑问需要澄清，应于收到招标文件后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2</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日内以书面形式（包括书面文字、传真等）向招标人提出，招标人将以书面形式予以解答。其中工程量清单在投标</w:t>
      </w:r>
      <w:r>
        <w:rPr>
          <w:rFonts w:hint="eastAsia" w:ascii="宋体" w:hAnsi="宋体"/>
          <w:b w:val="0"/>
          <w:bCs w:val="0"/>
          <w:snapToGrid w:val="0"/>
          <w:color w:val="auto"/>
          <w:sz w:val="21"/>
          <w:szCs w:val="21"/>
          <w:highlight w:val="none"/>
        </w:rPr>
        <w:t>截止前不需要</w:t>
      </w:r>
      <w:r>
        <w:rPr>
          <w:rFonts w:hint="eastAsia" w:ascii="宋体" w:hAnsi="宋体"/>
          <w:snapToGrid w:val="0"/>
          <w:color w:val="auto"/>
          <w:sz w:val="21"/>
          <w:szCs w:val="21"/>
          <w:highlight w:val="none"/>
        </w:rPr>
        <w:t>投标人进行澄清和修改，工程量清单数量如有误，招标人将在发出中标通知书后进行修正。</w:t>
      </w:r>
    </w:p>
    <w:p w14:paraId="773C5E74">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2、所有问题的解答，将在</w:t>
      </w:r>
      <w:r>
        <w:rPr>
          <w:rFonts w:hint="eastAsia" w:ascii="宋体" w:hAnsi="宋体"/>
          <w:b/>
          <w:snapToGrid w:val="0"/>
          <w:color w:val="auto"/>
          <w:sz w:val="21"/>
          <w:szCs w:val="21"/>
          <w:highlight w:val="none"/>
          <w:u w:val="single"/>
        </w:rPr>
        <w:t xml:space="preserve"> 2 </w:t>
      </w:r>
      <w:r>
        <w:rPr>
          <w:rFonts w:hint="eastAsia" w:ascii="宋体" w:hAnsi="宋体"/>
          <w:snapToGrid w:val="0"/>
          <w:color w:val="auto"/>
          <w:sz w:val="21"/>
          <w:szCs w:val="21"/>
          <w:highlight w:val="none"/>
        </w:rPr>
        <w:t>日内提供给所有投标人。由此而产生的对招标文件内容的修改，以修改通知的方式发出。</w:t>
      </w:r>
    </w:p>
    <w:p w14:paraId="2D1CA666">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（六）招标文件的修改</w:t>
      </w:r>
    </w:p>
    <w:p w14:paraId="2D6E08D1">
      <w:pPr>
        <w:adjustRightInd w:val="0"/>
        <w:snapToGrid w:val="0"/>
        <w:spacing w:line="360" w:lineRule="auto"/>
        <w:ind w:left="288" w:leftChars="144" w:firstLine="252" w:firstLineChars="12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1、在投标截止日期</w:t>
      </w:r>
      <w:r>
        <w:rPr>
          <w:rFonts w:hint="eastAsia" w:ascii="宋体" w:hAnsi="宋体"/>
          <w:snapToGrid w:val="0"/>
          <w:color w:val="auto"/>
          <w:sz w:val="21"/>
          <w:szCs w:val="21"/>
          <w:highlight w:val="none"/>
          <w:u w:val="single"/>
        </w:rPr>
        <w:t xml:space="preserve"> 1</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rPr>
        <w:t>天前，招标人都可能会以书面通知的方式修改招标文件。修改通知作为招标文件的组成部分，对投标人起同等约束作用。</w:t>
      </w:r>
    </w:p>
    <w:p w14:paraId="44D51CDB">
      <w:pPr>
        <w:tabs>
          <w:tab w:val="left" w:pos="0"/>
          <w:tab w:val="left" w:pos="1134"/>
        </w:tabs>
        <w:adjustRightInd w:val="0"/>
        <w:snapToGrid w:val="0"/>
        <w:spacing w:line="360" w:lineRule="auto"/>
        <w:ind w:firstLine="506" w:firstLineChars="241"/>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w:t>
      </w:r>
    </w:p>
    <w:p w14:paraId="1A259A43">
      <w:pPr>
        <w:tabs>
          <w:tab w:val="left" w:pos="0"/>
        </w:tabs>
        <w:adjustRightInd w:val="0"/>
        <w:snapToGrid w:val="0"/>
        <w:spacing w:line="360" w:lineRule="auto"/>
        <w:ind w:left="288" w:leftChars="144" w:firstLine="1"/>
        <w:rPr>
          <w:rFonts w:ascii="宋体" w:hAnsi="宋体"/>
          <w:snapToGrid w:val="0"/>
          <w:color w:val="auto"/>
          <w:sz w:val="21"/>
          <w:szCs w:val="21"/>
          <w:highlight w:val="none"/>
        </w:rPr>
      </w:pPr>
      <w:r>
        <w:rPr>
          <w:rFonts w:hint="eastAsia" w:ascii="宋体" w:hAnsi="宋体"/>
          <w:snapToGrid w:val="0"/>
          <w:color w:val="auto"/>
          <w:sz w:val="21"/>
          <w:szCs w:val="21"/>
          <w:highlight w:val="none"/>
        </w:rPr>
        <w:t>投标文件的截止日期。具体时间将在修改通知中写明，修改通知将送达每一投标人。</w:t>
      </w:r>
    </w:p>
    <w:p w14:paraId="050DA19F">
      <w:pPr>
        <w:tabs>
          <w:tab w:val="left" w:pos="0"/>
          <w:tab w:val="left" w:pos="1134"/>
        </w:tabs>
        <w:adjustRightInd w:val="0"/>
        <w:snapToGrid w:val="0"/>
        <w:spacing w:line="360" w:lineRule="auto"/>
        <w:ind w:left="567"/>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13C1761B">
      <w:pPr>
        <w:pStyle w:val="4"/>
        <w:jc w:val="center"/>
        <w:rPr>
          <w:rFonts w:hint="eastAsia" w:ascii="宋体" w:hAnsi="宋体" w:eastAsia="宋体"/>
          <w:b/>
          <w:snapToGrid w:val="0"/>
          <w:color w:val="auto"/>
          <w:sz w:val="28"/>
          <w:highlight w:val="none"/>
        </w:rPr>
      </w:pPr>
      <w:bookmarkStart w:id="6" w:name="_Toc8206"/>
      <w:bookmarkStart w:id="7" w:name="_Toc11055315"/>
      <w:r>
        <w:rPr>
          <w:rFonts w:hint="eastAsia" w:ascii="宋体" w:hAnsi="宋体" w:eastAsia="宋体"/>
          <w:b/>
          <w:snapToGrid w:val="0"/>
          <w:color w:val="auto"/>
          <w:sz w:val="28"/>
          <w:highlight w:val="none"/>
        </w:rPr>
        <w:t>三、投  标  报  价</w:t>
      </w:r>
      <w:bookmarkEnd w:id="6"/>
      <w:bookmarkEnd w:id="7"/>
    </w:p>
    <w:p w14:paraId="20E099C6">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（七）投标报价</w:t>
      </w:r>
    </w:p>
    <w:p w14:paraId="75CC1E2A">
      <w:pPr>
        <w:numPr>
          <w:ilvl w:val="0"/>
          <w:numId w:val="3"/>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本工程的投标报价应该是按招标文件规定的招标范围内工程量清单所列项目的全部费用总和。 </w:t>
      </w:r>
    </w:p>
    <w:p w14:paraId="0C3F575E">
      <w:pPr>
        <w:numPr>
          <w:ilvl w:val="0"/>
          <w:numId w:val="3"/>
        </w:numPr>
        <w:adjustRightInd w:val="0"/>
        <w:snapToGrid w:val="0"/>
        <w:spacing w:line="360" w:lineRule="auto"/>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本工程投标报价的编制：投标人应按照招标人提供的工程量清单填报价格。填写的项目编码、项目名称、项目特征、计量单位、工程量必须与招标人提供的一致（投标人自行补充的措施项目除外）。</w:t>
      </w:r>
    </w:p>
    <w:p w14:paraId="0A5CFB23">
      <w:pPr>
        <w:pStyle w:val="9"/>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投标人应根据招标文件的有关要求，施工现场实际情况及拟定的施工方案或施工组织设计，依据企业定额和市场价格信息或参照建设行政主管部门发布的社会平均消耗量定额编制投标报价。</w:t>
      </w:r>
    </w:p>
    <w:p w14:paraId="5AD92131">
      <w:pPr>
        <w:pStyle w:val="9"/>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投标人的分部分项工程量清单综合单价、措施项目清单金额、其他项目清单金额应详细分析和列出其所含的工程内容，并根据本企业的情况和施工方案进行确定。</w:t>
      </w:r>
    </w:p>
    <w:p w14:paraId="166E9962">
      <w:pPr>
        <w:pStyle w:val="9"/>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其他项目清单中的暂列金额等项目费均为估算、预测算，虽在投标时计入投标人的报价中，但不应视为投标人所有。</w:t>
      </w:r>
    </w:p>
    <w:p w14:paraId="18E96938">
      <w:pPr>
        <w:tabs>
          <w:tab w:val="left" w:pos="0"/>
          <w:tab w:val="left" w:pos="1134"/>
        </w:tabs>
        <w:adjustRightInd w:val="0"/>
        <w:snapToGrid w:val="0"/>
        <w:spacing w:line="360" w:lineRule="auto"/>
        <w:ind w:left="685" w:leftChars="290" w:hanging="105" w:hangingChars="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 工程中的材料：①甲供材、暂定价的材料按给定的价格进行报价否则为废标。</w:t>
      </w:r>
    </w:p>
    <w:p w14:paraId="686676CC">
      <w:pPr>
        <w:tabs>
          <w:tab w:val="left" w:pos="0"/>
          <w:tab w:val="left" w:pos="1134"/>
        </w:tabs>
        <w:adjustRightInd w:val="0"/>
        <w:snapToGrid w:val="0"/>
        <w:spacing w:line="360" w:lineRule="auto"/>
        <w:ind w:left="720" w:leftChars="360" w:firstLine="1575" w:firstLineChars="7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②有指定品牌的，按其品牌进行报价。</w:t>
      </w:r>
    </w:p>
    <w:p w14:paraId="009C765F">
      <w:pPr>
        <w:tabs>
          <w:tab w:val="left" w:pos="0"/>
          <w:tab w:val="left" w:pos="1134"/>
        </w:tabs>
        <w:adjustRightInd w:val="0"/>
        <w:snapToGrid w:val="0"/>
        <w:spacing w:line="360" w:lineRule="auto"/>
        <w:ind w:firstLine="2310" w:firstLineChars="1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③其它材料由乙方自行报价。</w:t>
      </w:r>
    </w:p>
    <w:p w14:paraId="6ED0BAC2">
      <w:pPr>
        <w:tabs>
          <w:tab w:val="left" w:pos="0"/>
          <w:tab w:val="left" w:pos="1134"/>
        </w:tabs>
        <w:adjustRightInd w:val="0"/>
        <w:snapToGrid w:val="0"/>
        <w:spacing w:line="360" w:lineRule="auto"/>
        <w:ind w:left="690" w:leftChars="240" w:hanging="210" w:hangingChars="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7、不可竞争费的计取按常建2014第279号文件规定执行。</w:t>
      </w:r>
    </w:p>
    <w:p w14:paraId="2FBD6AD2">
      <w:pPr>
        <w:pStyle w:val="4"/>
        <w:jc w:val="center"/>
        <w:rPr>
          <w:rFonts w:hint="eastAsia" w:ascii="宋体" w:hAnsi="宋体" w:eastAsia="宋体"/>
          <w:b/>
          <w:snapToGrid w:val="0"/>
          <w:color w:val="auto"/>
          <w:sz w:val="28"/>
          <w:highlight w:val="none"/>
        </w:rPr>
      </w:pPr>
      <w:bookmarkStart w:id="8" w:name="_Toc29608"/>
      <w:bookmarkStart w:id="9" w:name="_Toc11055316"/>
      <w:r>
        <w:rPr>
          <w:rFonts w:hint="eastAsia" w:ascii="宋体" w:hAnsi="宋体" w:eastAsia="宋体"/>
          <w:b/>
          <w:snapToGrid w:val="0"/>
          <w:color w:val="auto"/>
          <w:sz w:val="28"/>
          <w:highlight w:val="none"/>
        </w:rPr>
        <w:t>四、投标文件的编制</w:t>
      </w:r>
      <w:bookmarkEnd w:id="8"/>
      <w:bookmarkEnd w:id="9"/>
    </w:p>
    <w:p w14:paraId="1FF7B8D1">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（九）投标文件的组成</w:t>
      </w:r>
    </w:p>
    <w:p w14:paraId="0431A9F5">
      <w:pPr>
        <w:tabs>
          <w:tab w:val="left" w:pos="0"/>
          <w:tab w:val="left" w:pos="993"/>
          <w:tab w:val="left" w:pos="113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1、投标人应当按照招标文件、工程量清单、标前会纪要及招标文件修改通知的要求编制投标文件，投标文件应对招标文件提出的实质性要求和条件做出响应。</w:t>
      </w:r>
    </w:p>
    <w:p w14:paraId="7862F767">
      <w:pPr>
        <w:tabs>
          <w:tab w:val="left" w:pos="0"/>
          <w:tab w:val="left" w:pos="1134"/>
        </w:tabs>
        <w:adjustRightInd w:val="0"/>
        <w:snapToGrid w:val="0"/>
        <w:spacing w:line="360" w:lineRule="auto"/>
        <w:ind w:firstLine="425"/>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2、投标人的投标文件应包括下列内容：</w:t>
      </w:r>
    </w:p>
    <w:p w14:paraId="0DFD985E">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投标函</w:t>
      </w:r>
    </w:p>
    <w:p w14:paraId="064287E8">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法定代表人资格证明书</w:t>
      </w:r>
    </w:p>
    <w:p w14:paraId="3B2E7063">
      <w:pPr>
        <w:numPr>
          <w:ilvl w:val="0"/>
          <w:numId w:val="4"/>
        </w:numPr>
        <w:tabs>
          <w:tab w:val="left" w:pos="993"/>
          <w:tab w:val="left" w:pos="1134"/>
        </w:tabs>
        <w:adjustRightInd w:val="0"/>
        <w:snapToGrid w:val="0"/>
        <w:spacing w:line="360" w:lineRule="auto"/>
        <w:ind w:firstLine="567"/>
        <w:jc w:val="both"/>
        <w:rPr>
          <w:rFonts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法定代表人委托代理人的委托书（开标时委托人另行随身携带一份原件核验身份）</w:t>
      </w:r>
    </w:p>
    <w:p w14:paraId="066FA961">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报价汇总表</w:t>
      </w:r>
    </w:p>
    <w:p w14:paraId="757FE0A3">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工程量清单报价表</w:t>
      </w:r>
    </w:p>
    <w:p w14:paraId="3D17A671">
      <w:pPr>
        <w:tabs>
          <w:tab w:val="left" w:pos="0"/>
          <w:tab w:val="left" w:pos="993"/>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3、投标人必须适用投标文件第五章中所提供的文件格式按规定要求填写（如不够用时，投标人可按同样格式自行编制和添补）</w:t>
      </w:r>
    </w:p>
    <w:p w14:paraId="4463F03C">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（十）投标担保</w:t>
      </w:r>
    </w:p>
    <w:p w14:paraId="5A321B1C">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1、本工程投标担保方式采用:</w:t>
      </w:r>
      <w:r>
        <w:rPr>
          <w:rFonts w:hint="eastAsia" w:ascii="宋体" w:hAnsi="宋体"/>
          <w:b/>
          <w:bCs/>
          <w:snapToGrid w:val="0"/>
          <w:color w:val="auto"/>
          <w:sz w:val="21"/>
          <w:szCs w:val="21"/>
          <w:highlight w:val="none"/>
          <w:u w:val="single"/>
        </w:rPr>
        <w:t xml:space="preserve">  投标保证金 </w:t>
      </w:r>
    </w:p>
    <w:p w14:paraId="4505E53C">
      <w:pPr>
        <w:tabs>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2、投标人应当按照招标文件要求的金额提交投标保证金。</w:t>
      </w:r>
    </w:p>
    <w:p w14:paraId="3DF0BDE6">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3、投标保证金可采用以下方式缴纳：</w:t>
      </w:r>
      <w:r>
        <w:rPr>
          <w:rFonts w:hint="eastAsia" w:ascii="宋体" w:hAnsi="宋体"/>
          <w:b/>
          <w:bCs/>
          <w:snapToGrid w:val="0"/>
          <w:color w:val="auto"/>
          <w:sz w:val="21"/>
          <w:szCs w:val="21"/>
          <w:highlight w:val="none"/>
          <w:u w:val="single"/>
        </w:rPr>
        <w:t xml:space="preserve"> </w:t>
      </w:r>
      <w:r>
        <w:rPr>
          <w:rFonts w:hint="eastAsia" w:ascii="宋体" w:hAnsi="宋体"/>
          <w:b/>
          <w:bCs/>
          <w:snapToGrid w:val="0"/>
          <w:color w:val="auto"/>
          <w:sz w:val="21"/>
          <w:szCs w:val="21"/>
          <w:highlight w:val="none"/>
          <w:u w:val="single"/>
          <w:lang w:val="en-US" w:eastAsia="zh-CN"/>
        </w:rPr>
        <w:t>银行转账</w:t>
      </w:r>
      <w:r>
        <w:rPr>
          <w:rFonts w:hint="eastAsia" w:ascii="宋体" w:hAnsi="宋体"/>
          <w:b/>
          <w:bCs/>
          <w:snapToGrid w:val="0"/>
          <w:color w:val="auto"/>
          <w:sz w:val="21"/>
          <w:szCs w:val="21"/>
          <w:highlight w:val="none"/>
          <w:u w:val="single"/>
        </w:rPr>
        <w:t xml:space="preserve"> </w:t>
      </w:r>
    </w:p>
    <w:p w14:paraId="123F033D">
      <w:pPr>
        <w:tabs>
          <w:tab w:val="left" w:pos="0"/>
          <w:tab w:val="left" w:pos="113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4、投标保证金不计利息。</w:t>
      </w:r>
    </w:p>
    <w:p w14:paraId="60A32D18">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(十一) 勘察现场</w:t>
      </w:r>
    </w:p>
    <w:p w14:paraId="0138B0FE">
      <w:pPr>
        <w:tabs>
          <w:tab w:val="left" w:pos="28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6FF44E17">
      <w:pPr>
        <w:tabs>
          <w:tab w:val="left" w:pos="0"/>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16EFD82D">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（十二）投标文件的份数和签署</w:t>
      </w:r>
    </w:p>
    <w:p w14:paraId="16E5F3DE">
      <w:pPr>
        <w:tabs>
          <w:tab w:val="left" w:pos="0"/>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1、投标人必须编制一份投标文件“正本”和前附表所要求份数的“副本”，并明确标明“正本”和“副本”。投标文件正本和副本如有不一致之处，以正本为准。</w:t>
      </w:r>
    </w:p>
    <w:p w14:paraId="03AD0366">
      <w:pPr>
        <w:tabs>
          <w:tab w:val="left" w:pos="0"/>
          <w:tab w:val="left" w:pos="851"/>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2、投标文件正本与副本均应使用不能擦去的墨水书写或打印，由投标人加盖公章和法定代表人或法定代表人委托的代理人印鉴或签字。</w:t>
      </w:r>
    </w:p>
    <w:p w14:paraId="45EF28CE">
      <w:pPr>
        <w:tabs>
          <w:tab w:val="left" w:pos="0"/>
          <w:tab w:val="left" w:pos="993"/>
          <w:tab w:val="left" w:pos="1134"/>
        </w:tabs>
        <w:adjustRightInd w:val="0"/>
        <w:snapToGrid w:val="0"/>
        <w:spacing w:line="360" w:lineRule="auto"/>
        <w:ind w:left="324" w:leftChars="162"/>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67CB8C0D">
      <w:pPr>
        <w:pStyle w:val="4"/>
        <w:jc w:val="center"/>
        <w:rPr>
          <w:rFonts w:hint="eastAsia" w:ascii="宋体" w:hAnsi="宋体" w:eastAsia="宋体"/>
          <w:b/>
          <w:bCs/>
          <w:snapToGrid w:val="0"/>
          <w:color w:val="auto"/>
          <w:sz w:val="28"/>
          <w:szCs w:val="28"/>
          <w:highlight w:val="none"/>
        </w:rPr>
      </w:pPr>
      <w:bookmarkStart w:id="10" w:name="_Toc11055317"/>
      <w:bookmarkStart w:id="11" w:name="_Toc16872"/>
      <w:r>
        <w:rPr>
          <w:rFonts w:hint="eastAsia" w:ascii="宋体" w:hAnsi="宋体" w:eastAsia="宋体"/>
          <w:b/>
          <w:bCs/>
          <w:snapToGrid w:val="0"/>
          <w:color w:val="auto"/>
          <w:sz w:val="28"/>
          <w:szCs w:val="28"/>
          <w:highlight w:val="none"/>
        </w:rPr>
        <w:t>五、投标文件的递交</w:t>
      </w:r>
      <w:bookmarkEnd w:id="10"/>
      <w:bookmarkEnd w:id="11"/>
    </w:p>
    <w:p w14:paraId="02F68ABE">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（十三）投标文件的密封与标志</w:t>
      </w:r>
    </w:p>
    <w:p w14:paraId="51901938">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 xml:space="preserve">  </w:t>
      </w: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w:t>
      </w:r>
      <w:r>
        <w:rPr>
          <w:rFonts w:hint="eastAsia" w:ascii="宋体" w:hAnsi="宋体"/>
          <w:snapToGrid w:val="0"/>
          <w:color w:val="auto"/>
          <w:sz w:val="21"/>
          <w:szCs w:val="21"/>
          <w:highlight w:val="none"/>
        </w:rPr>
        <w:t>授权委托人必须携带本人第二代居民身份证原件和法人授权委托书原件（除投标书中另外单独提供一份）准时参加开标会议，否则招标人将拒绝其投标。</w:t>
      </w:r>
    </w:p>
    <w:p w14:paraId="334BC6AE">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2、密封：投标人必须按前附表要求的份数将投标文件密封提交，并在封袋骑缝密封处加盖投标人法人印章和法定代表人或其委托代理人的印章（或签字）。</w:t>
      </w:r>
    </w:p>
    <w:p w14:paraId="4B0DD56B">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3、标志：投标人应在投标文件封袋上正确标明“正本”或“副本”字样，所有封袋上都必须写明招标人名称、工程名称和标段名称以及投标人的名称。</w:t>
      </w:r>
    </w:p>
    <w:p w14:paraId="1347E1DC">
      <w:pPr>
        <w:tabs>
          <w:tab w:val="left" w:pos="993"/>
        </w:tabs>
        <w:adjustRightInd w:val="0"/>
        <w:snapToGrid w:val="0"/>
        <w:spacing w:line="360" w:lineRule="auto"/>
        <w:ind w:firstLine="420" w:firstLineChars="20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未按上述规定编制、密封、标志、盖章、签字所递交的投标文件招标人有权拒绝接受标书。</w:t>
      </w:r>
    </w:p>
    <w:p w14:paraId="1BC70665">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（十四）投标截止期</w:t>
      </w:r>
    </w:p>
    <w:p w14:paraId="0308272F">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1、投标人应在投标须知中规定的时间之前将投标文件递交到指定地点。招标人在接到投标文件时将在投标文件上注明收到的日期和时间。</w:t>
      </w:r>
    </w:p>
    <w:p w14:paraId="1213A958">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27B0485B">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3、超过投标截止期送达的或者未送达指定地点的投标文件将被拒绝并原封退给投标人。</w:t>
      </w:r>
    </w:p>
    <w:p w14:paraId="43955856">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4、提交投标文件的投标人少于三个的，招标人将依法重新招标。</w:t>
      </w:r>
    </w:p>
    <w:p w14:paraId="4D442B6E">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（十五）投标文件的修改与撤回</w:t>
      </w:r>
    </w:p>
    <w:p w14:paraId="3D19A485">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2DBC2B10">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2、投标人的补充、修改、替代或撤回通知，应按按本文件第（十四）条规定的要求编制、密封、标志和递交，密封袋上应标明“补充”、“修改”、“替代”或“撤回”字样。</w:t>
      </w:r>
    </w:p>
    <w:p w14:paraId="3971070A">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3、投标截止以后,在投标有效期内，投标人不得撤回投标文件，否则其投标保证金将被没收。</w:t>
      </w:r>
    </w:p>
    <w:p w14:paraId="60AE7FAA">
      <w:pPr>
        <w:pStyle w:val="4"/>
        <w:jc w:val="center"/>
        <w:rPr>
          <w:rFonts w:hint="eastAsia" w:ascii="宋体" w:hAnsi="宋体" w:eastAsia="宋体"/>
          <w:b/>
          <w:bCs/>
          <w:snapToGrid w:val="0"/>
          <w:color w:val="auto"/>
          <w:sz w:val="28"/>
          <w:szCs w:val="28"/>
          <w:highlight w:val="none"/>
        </w:rPr>
      </w:pPr>
      <w:bookmarkStart w:id="12" w:name="_Toc11055318"/>
      <w:bookmarkStart w:id="13" w:name="_Toc16626"/>
      <w:r>
        <w:rPr>
          <w:rFonts w:hint="eastAsia" w:ascii="宋体" w:hAnsi="宋体" w:eastAsia="宋体"/>
          <w:b/>
          <w:bCs/>
          <w:snapToGrid w:val="0"/>
          <w:color w:val="auto"/>
          <w:sz w:val="28"/>
          <w:szCs w:val="28"/>
          <w:highlight w:val="none"/>
        </w:rPr>
        <w:t>六、开    标</w:t>
      </w:r>
      <w:bookmarkEnd w:id="12"/>
      <w:bookmarkEnd w:id="13"/>
    </w:p>
    <w:p w14:paraId="52147CA3">
      <w:pPr>
        <w:adjustRightInd w:val="0"/>
        <w:snapToGrid w:val="0"/>
        <w:spacing w:line="360" w:lineRule="auto"/>
        <w:ind w:firstLine="24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（十六）开标</w:t>
      </w:r>
    </w:p>
    <w:p w14:paraId="7E566908">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、开标时间和地点见前附表。</w:t>
      </w:r>
    </w:p>
    <w:p w14:paraId="2B113D94">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w:t>
      </w:r>
      <w:r>
        <w:rPr>
          <w:rFonts w:hint="eastAsia" w:ascii="宋体" w:hAnsi="宋体"/>
          <w:snapToGrid w:val="0"/>
          <w:color w:val="auto"/>
          <w:sz w:val="21"/>
          <w:szCs w:val="21"/>
          <w:highlight w:val="none"/>
        </w:rPr>
        <w:t>开标由招标人或其委托的招标代理机构人员主持，邀请所有投标人参加。</w:t>
      </w:r>
    </w:p>
    <w:p w14:paraId="4616E2C8">
      <w:pPr>
        <w:tabs>
          <w:tab w:val="left" w:pos="142"/>
          <w:tab w:val="left" w:pos="993"/>
          <w:tab w:val="left" w:pos="1134"/>
        </w:tabs>
        <w:adjustRightInd w:val="0"/>
        <w:snapToGrid w:val="0"/>
        <w:spacing w:line="360" w:lineRule="auto"/>
        <w:ind w:left="288" w:leftChars="144" w:firstLine="284"/>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3、开标时，由投标人推选的代表或招标人委托的公证机构检查投标文件的密封情况，投标</w:t>
      </w:r>
      <w:r>
        <w:rPr>
          <w:rFonts w:ascii="宋体" w:hAnsi="宋体"/>
          <w:bCs/>
          <w:snapToGrid w:val="0"/>
          <w:color w:val="auto"/>
          <w:sz w:val="21"/>
          <w:szCs w:val="21"/>
          <w:highlight w:val="none"/>
        </w:rPr>
        <w:t>文件未按照招标文件的要求予以密封的，</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作为无效投标文件，</w:t>
      </w:r>
      <w:r>
        <w:rPr>
          <w:rFonts w:hint="eastAsia" w:ascii="宋体" w:hAnsi="宋体"/>
          <w:bCs/>
          <w:snapToGrid w:val="0"/>
          <w:color w:val="auto"/>
          <w:sz w:val="21"/>
          <w:szCs w:val="21"/>
          <w:highlight w:val="none"/>
        </w:rPr>
        <w:t>退回投标人。经确认无误后，由工作人员当众拆封，投标单位的授权委托人宣读投标人名称、投标价格和其他招标人认为有必要的内容。</w:t>
      </w:r>
    </w:p>
    <w:p w14:paraId="733B9DBD">
      <w:pPr>
        <w:tabs>
          <w:tab w:val="left" w:pos="0"/>
          <w:tab w:val="left" w:pos="284"/>
        </w:tabs>
        <w:adjustRightInd w:val="0"/>
        <w:snapToGrid w:val="0"/>
        <w:spacing w:line="360" w:lineRule="auto"/>
        <w:ind w:left="284" w:firstLine="252" w:firstLineChars="12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4、唱标顺序按各投标人送达投标文件时间先后的逆顺序进行。</w:t>
      </w:r>
    </w:p>
    <w:p w14:paraId="1D2708F2">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5、投标人或其委托代理人必须在</w:t>
      </w:r>
      <w:r>
        <w:rPr>
          <w:rFonts w:hint="eastAsia" w:ascii="宋体" w:hAnsi="宋体"/>
          <w:bCs/>
          <w:snapToGrid w:val="0"/>
          <w:color w:val="auto"/>
          <w:sz w:val="21"/>
          <w:szCs w:val="21"/>
          <w:highlight w:val="none"/>
          <w:lang w:val="en-US" w:eastAsia="zh-CN"/>
        </w:rPr>
        <w:t>会议</w:t>
      </w:r>
      <w:r>
        <w:rPr>
          <w:rFonts w:hint="eastAsia" w:ascii="宋体" w:hAnsi="宋体"/>
          <w:bCs/>
          <w:snapToGrid w:val="0"/>
          <w:color w:val="auto"/>
          <w:sz w:val="21"/>
          <w:szCs w:val="21"/>
          <w:highlight w:val="none"/>
        </w:rPr>
        <w:t>签到薄签名。</w:t>
      </w:r>
    </w:p>
    <w:p w14:paraId="1B6D3448">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6、投标人或其委托代理人必须参加</w:t>
      </w:r>
      <w:r>
        <w:rPr>
          <w:rFonts w:hint="eastAsia" w:ascii="宋体" w:hAnsi="宋体"/>
          <w:bCs/>
          <w:snapToGrid w:val="0"/>
          <w:color w:val="auto"/>
          <w:sz w:val="21"/>
          <w:szCs w:val="21"/>
          <w:highlight w:val="none"/>
          <w:lang w:val="en-US" w:eastAsia="zh-CN"/>
        </w:rPr>
        <w:t>开</w:t>
      </w:r>
      <w:r>
        <w:rPr>
          <w:rFonts w:hint="eastAsia" w:ascii="宋体" w:hAnsi="宋体"/>
          <w:bCs/>
          <w:snapToGrid w:val="0"/>
          <w:color w:val="auto"/>
          <w:sz w:val="21"/>
          <w:szCs w:val="21"/>
          <w:highlight w:val="none"/>
        </w:rPr>
        <w:t>标，</w:t>
      </w:r>
      <w:r>
        <w:rPr>
          <w:rFonts w:hint="eastAsia" w:ascii="宋体" w:hAnsi="宋体"/>
          <w:bCs/>
          <w:snapToGrid w:val="0"/>
          <w:color w:val="auto"/>
          <w:sz w:val="21"/>
          <w:szCs w:val="21"/>
          <w:highlight w:val="none"/>
          <w:lang w:val="en-US" w:eastAsia="zh-CN"/>
        </w:rPr>
        <w:t>在投标时间截止前</w:t>
      </w:r>
      <w:r>
        <w:rPr>
          <w:rFonts w:hint="eastAsia" w:ascii="宋体" w:hAnsi="宋体"/>
          <w:bCs/>
          <w:snapToGrid w:val="0"/>
          <w:color w:val="auto"/>
          <w:sz w:val="21"/>
          <w:szCs w:val="21"/>
          <w:highlight w:val="none"/>
        </w:rPr>
        <w:t>必须到达</w:t>
      </w:r>
      <w:r>
        <w:rPr>
          <w:rFonts w:hint="eastAsia" w:ascii="宋体" w:hAnsi="宋体"/>
          <w:bCs/>
          <w:snapToGrid w:val="0"/>
          <w:color w:val="auto"/>
          <w:sz w:val="21"/>
          <w:szCs w:val="21"/>
          <w:highlight w:val="none"/>
          <w:lang w:val="en-US" w:eastAsia="zh-CN"/>
        </w:rPr>
        <w:t>开</w:t>
      </w:r>
      <w:r>
        <w:rPr>
          <w:rFonts w:hint="eastAsia" w:ascii="宋体" w:hAnsi="宋体"/>
          <w:bCs/>
          <w:snapToGrid w:val="0"/>
          <w:color w:val="auto"/>
          <w:sz w:val="21"/>
          <w:szCs w:val="21"/>
          <w:highlight w:val="none"/>
        </w:rPr>
        <w:t>标现场，否则招标人不予受理。</w:t>
      </w:r>
    </w:p>
    <w:p w14:paraId="178235CA">
      <w:pPr>
        <w:tabs>
          <w:tab w:val="left" w:pos="0"/>
          <w:tab w:val="left" w:pos="993"/>
          <w:tab w:val="left" w:pos="1134"/>
        </w:tabs>
        <w:adjustRightInd w:val="0"/>
        <w:snapToGrid w:val="0"/>
        <w:spacing w:line="360" w:lineRule="auto"/>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5、开标时，投标文件出现下列情形之一的，招标人不予受理：</w:t>
      </w:r>
    </w:p>
    <w:p w14:paraId="2446F06F">
      <w:pPr>
        <w:numPr>
          <w:ilvl w:val="0"/>
          <w:numId w:val="5"/>
        </w:numPr>
        <w:adjustRightInd w:val="0"/>
        <w:snapToGrid w:val="0"/>
        <w:spacing w:line="360" w:lineRule="auto"/>
        <w:ind w:left="566" w:leftChars="283" w:firstLine="0"/>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逾期送达或未送达指定地点的；</w:t>
      </w:r>
    </w:p>
    <w:p w14:paraId="3300EE31">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未按照招标文件的要求予以密封的；</w:t>
      </w:r>
    </w:p>
    <w:p w14:paraId="5468F868">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未按照招标文件的要求提供投标保证金或投标保函的；</w:t>
      </w:r>
    </w:p>
    <w:p w14:paraId="2C5A2B29">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未提供法人证明和有效身份证明的；</w:t>
      </w:r>
    </w:p>
    <w:p w14:paraId="7D49D6F9">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未提供授权委托书和委托人身份证明（第二代身份证原件）的；</w:t>
      </w:r>
    </w:p>
    <w:p w14:paraId="06FC738A">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未参加开标会议的；</w:t>
      </w:r>
    </w:p>
    <w:p w14:paraId="7A7B61BF">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提供材料有瑕疵的。</w:t>
      </w:r>
    </w:p>
    <w:p w14:paraId="37ABD75A">
      <w:pPr>
        <w:pStyle w:val="4"/>
        <w:jc w:val="center"/>
        <w:rPr>
          <w:rFonts w:hint="eastAsia" w:ascii="宋体" w:hAnsi="宋体" w:eastAsia="宋体"/>
          <w:b/>
          <w:snapToGrid w:val="0"/>
          <w:color w:val="auto"/>
          <w:sz w:val="28"/>
          <w:szCs w:val="28"/>
          <w:highlight w:val="none"/>
        </w:rPr>
      </w:pPr>
      <w:bookmarkStart w:id="14" w:name="_Toc11055319"/>
      <w:bookmarkStart w:id="15" w:name="_Toc30627"/>
      <w:r>
        <w:rPr>
          <w:rFonts w:hint="eastAsia" w:ascii="宋体" w:hAnsi="宋体" w:eastAsia="宋体"/>
          <w:b/>
          <w:snapToGrid w:val="0"/>
          <w:color w:val="auto"/>
          <w:sz w:val="28"/>
          <w:szCs w:val="28"/>
          <w:highlight w:val="none"/>
        </w:rPr>
        <w:t>七、评   标</w:t>
      </w:r>
      <w:bookmarkEnd w:id="14"/>
      <w:bookmarkEnd w:id="15"/>
    </w:p>
    <w:p w14:paraId="3152F4A0">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（十七）评标</w:t>
      </w:r>
    </w:p>
    <w:p w14:paraId="0AAAB00F">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1、评标按照下列程序进行：</w:t>
      </w:r>
    </w:p>
    <w:p w14:paraId="4DB2CED3">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（1）组建评标委员会和清标工作组；</w:t>
      </w:r>
    </w:p>
    <w:p w14:paraId="0EB28BED">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（2）评标准备及清标；</w:t>
      </w:r>
    </w:p>
    <w:p w14:paraId="55502139">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（3）初步评审；</w:t>
      </w:r>
    </w:p>
    <w:p w14:paraId="20E51293">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（4）详细评审</w:t>
      </w:r>
    </w:p>
    <w:p w14:paraId="7D95FD15">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（5）推荐中标候选人，撰写评标报告</w:t>
      </w:r>
    </w:p>
    <w:p w14:paraId="41DF6723">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（十八）清标</w:t>
      </w:r>
    </w:p>
    <w:p w14:paraId="5293F195">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1、组建清标工作组</w:t>
      </w:r>
    </w:p>
    <w:p w14:paraId="4F3483C3">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（1）清标工作组由</w:t>
      </w:r>
      <w:r>
        <w:rPr>
          <w:rFonts w:hint="eastAsia" w:ascii="宋体" w:hAnsi="宋体"/>
          <w:snapToGrid w:val="0"/>
          <w:color w:val="auto"/>
          <w:sz w:val="21"/>
          <w:szCs w:val="21"/>
          <w:highlight w:val="none"/>
        </w:rPr>
        <w:t>建设单位确定</w:t>
      </w:r>
      <w:r>
        <w:rPr>
          <w:rFonts w:hint="eastAsia" w:ascii="宋体" w:hAnsi="宋体"/>
          <w:color w:val="auto"/>
          <w:sz w:val="21"/>
          <w:szCs w:val="21"/>
          <w:highlight w:val="none"/>
        </w:rPr>
        <w:t>的本工程评标委员会经济类、技术类专家组成。</w:t>
      </w:r>
    </w:p>
    <w:p w14:paraId="017B6570">
      <w:pPr>
        <w:tabs>
          <w:tab w:val="left" w:pos="284"/>
          <w:tab w:val="left" w:pos="993"/>
          <w:tab w:val="left" w:pos="1134"/>
        </w:tabs>
        <w:adjustRightInd w:val="0"/>
        <w:snapToGrid w:val="0"/>
        <w:spacing w:line="360" w:lineRule="auto"/>
        <w:ind w:left="288" w:leftChars="144" w:firstLine="284"/>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清标工作组应当遵守法律、法规、规章关于评标工作原则、评标保密和回避的规定。</w:t>
      </w:r>
    </w:p>
    <w:p w14:paraId="69A1A721">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清标工作的主要内容包括：</w:t>
      </w:r>
    </w:p>
    <w:p w14:paraId="3F4943CF">
      <w:pPr>
        <w:spacing w:line="360" w:lineRule="auto"/>
        <w:ind w:left="1284" w:hanging="720"/>
        <w:rPr>
          <w:rFonts w:hint="eastAsia" w:ascii="宋体" w:hAnsi="宋体"/>
          <w:color w:val="auto"/>
          <w:sz w:val="21"/>
          <w:szCs w:val="21"/>
          <w:highlight w:val="none"/>
        </w:rPr>
      </w:pPr>
      <w:r>
        <w:rPr>
          <w:rFonts w:hint="eastAsia" w:ascii="宋体" w:hAnsi="宋体"/>
          <w:color w:val="auto"/>
          <w:sz w:val="21"/>
          <w:szCs w:val="21"/>
          <w:highlight w:val="none"/>
        </w:rPr>
        <w:t>（1）按照投标总价的高低，对投标文件进行排序；</w:t>
      </w:r>
    </w:p>
    <w:p w14:paraId="258D8B25">
      <w:pPr>
        <w:spacing w:line="360" w:lineRule="auto"/>
        <w:ind w:left="284" w:firstLine="280"/>
        <w:rPr>
          <w:rFonts w:hint="eastAsia" w:ascii="宋体" w:hAnsi="宋体"/>
          <w:color w:val="auto"/>
          <w:sz w:val="21"/>
          <w:szCs w:val="21"/>
          <w:highlight w:val="none"/>
        </w:rPr>
      </w:pPr>
      <w:r>
        <w:rPr>
          <w:rFonts w:hint="eastAsia" w:ascii="宋体" w:hAnsi="宋体"/>
          <w:color w:val="auto"/>
          <w:sz w:val="21"/>
          <w:szCs w:val="21"/>
          <w:highlight w:val="none"/>
        </w:rPr>
        <w:t>（2）根据招标文件的规定，对所有投标文件进行全面的审查，列出投标文件在符合性、响应性和技术方法、技术措施、技术标准等方面存在的所有偏差；</w:t>
      </w:r>
    </w:p>
    <w:p w14:paraId="20402D06">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 xml:space="preserve">（3）按照招标文件的规定的方法和标准，对投标报价进行换算； </w:t>
      </w:r>
    </w:p>
    <w:p w14:paraId="18676C4A">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（4）对投标报价进行校核，列出投标文件存在的算术计算错误；</w:t>
      </w:r>
    </w:p>
    <w:p w14:paraId="36C58FF9">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（5）根据本招标文件规定的标准，审查并列出过高和过低的投标价格；</w:t>
      </w:r>
    </w:p>
    <w:p w14:paraId="66B86621">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（6）形成书面的清标情况报告。</w:t>
      </w:r>
    </w:p>
    <w:p w14:paraId="1F97BB05">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（十九）评标活动</w:t>
      </w:r>
    </w:p>
    <w:p w14:paraId="521E7F95">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1、评标活动在有关行政监督管理部门的监督下，由评标委员会组织进行。</w:t>
      </w:r>
    </w:p>
    <w:p w14:paraId="01C726C1">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2、本工程采用下列第 </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 xml:space="preserve"> 种方式进行评标。</w:t>
      </w:r>
    </w:p>
    <w:p w14:paraId="2D36CEAC">
      <w:pPr>
        <w:tabs>
          <w:tab w:val="left" w:pos="0"/>
          <w:tab w:val="left" w:pos="993"/>
          <w:tab w:val="left" w:pos="1134"/>
        </w:tabs>
        <w:adjustRightInd w:val="0"/>
        <w:snapToGrid w:val="0"/>
        <w:spacing w:line="360" w:lineRule="auto"/>
        <w:ind w:left="284" w:firstLine="28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w:t>
      </w:r>
      <w:r>
        <w:rPr>
          <w:rFonts w:ascii="宋体" w:hAnsi="宋体"/>
          <w:snapToGrid w:val="0"/>
          <w:color w:val="auto"/>
          <w:sz w:val="21"/>
          <w:szCs w:val="21"/>
          <w:highlight w:val="none"/>
        </w:rPr>
        <w:t>经评审的最低投标价法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在投标文件能够满足招标文件实质性要求的投标人中，评审出投标价格最低的投标人，但投标价格低于其企业成本的除外。</w:t>
      </w:r>
    </w:p>
    <w:p w14:paraId="40F7908B">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w:t>
      </w:r>
      <w:r>
        <w:rPr>
          <w:rFonts w:ascii="宋体" w:hAnsi="宋体"/>
          <w:snapToGrid w:val="0"/>
          <w:color w:val="auto"/>
          <w:sz w:val="21"/>
          <w:szCs w:val="21"/>
          <w:highlight w:val="none"/>
        </w:rPr>
        <w:t>综合评</w:t>
      </w:r>
      <w:r>
        <w:rPr>
          <w:rFonts w:hint="eastAsia" w:ascii="宋体" w:hAnsi="宋体"/>
          <w:snapToGrid w:val="0"/>
          <w:color w:val="auto"/>
          <w:sz w:val="21"/>
          <w:szCs w:val="21"/>
          <w:highlight w:val="none"/>
        </w:rPr>
        <w:t>分</w:t>
      </w:r>
      <w:r>
        <w:rPr>
          <w:rFonts w:ascii="宋体" w:hAnsi="宋体"/>
          <w:snapToGrid w:val="0"/>
          <w:color w:val="auto"/>
          <w:sz w:val="21"/>
          <w:szCs w:val="21"/>
          <w:highlight w:val="none"/>
        </w:rPr>
        <w:t>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对投标文件提出的工程质量、施工工期、投标价格、施工组织设计或者施工方案、投标人及项目经理业绩等，能否最大限度地满足招标文件中规定的各项要求和评价标准进行评审和比较</w:t>
      </w:r>
      <w:r>
        <w:rPr>
          <w:rFonts w:hint="eastAsia" w:ascii="宋体" w:hAnsi="宋体"/>
          <w:snapToGrid w:val="0"/>
          <w:color w:val="auto"/>
          <w:sz w:val="21"/>
          <w:szCs w:val="21"/>
          <w:highlight w:val="none"/>
        </w:rPr>
        <w:t>，择优选定中标单位</w:t>
      </w:r>
      <w:r>
        <w:rPr>
          <w:rFonts w:ascii="宋体" w:hAnsi="宋体"/>
          <w:snapToGrid w:val="0"/>
          <w:color w:val="auto"/>
          <w:sz w:val="21"/>
          <w:szCs w:val="21"/>
          <w:highlight w:val="none"/>
        </w:rPr>
        <w:t>。</w:t>
      </w:r>
    </w:p>
    <w:p w14:paraId="49095830">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（3）具体细则为：详见第四章评标细则。</w:t>
      </w:r>
    </w:p>
    <w:p w14:paraId="7B89DDD9">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3、本工程过高或者过低的投标价格的具体标准为下列第</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种方式：</w:t>
      </w:r>
    </w:p>
    <w:p w14:paraId="2E6DD28D">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（1）以招标人设定的招标控制价为标准；</w:t>
      </w:r>
    </w:p>
    <w:p w14:paraId="651A048A">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（2）以建设行政主管部门或者有关行业协会公布的信息指导价的一定幅度为标准；</w:t>
      </w:r>
    </w:p>
    <w:p w14:paraId="1C2B9B80">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（3）以投标人投标价格的平均值的一定幅度为标准；</w:t>
      </w:r>
    </w:p>
    <w:p w14:paraId="1BCB3DE8">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4、过低的投标价格，评标委员会应当对与该价格相关的下类因素进行重点分析：</w:t>
      </w:r>
    </w:p>
    <w:p w14:paraId="63380258">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49142718">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410D8763">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0DAE9158">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18B26603">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BC69EDC">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(6）投标人对澄清要求所作的说明是否合理，提供的相关证明材料是否具有说服力</w:t>
      </w:r>
    </w:p>
    <w:p w14:paraId="785C08C6">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14:paraId="488591AC">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5、评标委员会应当根据经评审不能成立的过低的投标价格与下列相应价格中的最高价之间的价差和招标文件规定的工程数量，计算出合价差或者单项费用差：</w:t>
      </w:r>
    </w:p>
    <w:p w14:paraId="3D8BF9A6">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(1）建设行政主管部门或者有关行业协会公布的信息指导价；</w:t>
      </w:r>
    </w:p>
    <w:p w14:paraId="31C845E0">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(2）所有投标人相应投标价格中的平均价；</w:t>
      </w:r>
    </w:p>
    <w:p w14:paraId="6BD29EB9">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所有合价差和单项费用差的总计金额大于投标文件列明的利润总额的，评标委员会应当认定该投标人以低于成本的价格投标，其投标文件无效。</w:t>
      </w:r>
    </w:p>
    <w:p w14:paraId="09A1F3F7">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2726FD98">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7、评标过程中，数据和评分的计算过程和计算结果均保留两位小数，小数点后的第三位四舍五入。</w:t>
      </w:r>
    </w:p>
    <w:p w14:paraId="480F3642">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8、在评标过程中，评标委员会成员对同一问题意见不一致的，按照少数服从多数的原则形成评标结论。</w:t>
      </w:r>
    </w:p>
    <w:p w14:paraId="5FAC92A5">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评标委员会完成评标后，应当拟订一份“标价比较表”或者“综合评估比较表”，连同书面清标情况报告和评标报告提交招标人，并抄送监督机构。</w:t>
      </w:r>
    </w:p>
    <w:p w14:paraId="6069F30B">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18F1761C">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67F0DB6C">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（二十）投标文件的澄清</w:t>
      </w:r>
    </w:p>
    <w:p w14:paraId="39027713">
      <w:pPr>
        <w:pStyle w:val="9"/>
        <w:tabs>
          <w:tab w:val="left" w:pos="284"/>
          <w:tab w:val="clear" w:pos="993"/>
          <w:tab w:val="clear" w:pos="1134"/>
        </w:tabs>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0310650">
      <w:pPr>
        <w:pStyle w:val="9"/>
        <w:tabs>
          <w:tab w:val="left" w:pos="284"/>
          <w:tab w:val="clear" w:pos="993"/>
          <w:tab w:val="clear" w:pos="1134"/>
        </w:tabs>
        <w:adjustRightInd w:val="0"/>
        <w:snapToGrid w:val="0"/>
        <w:spacing w:line="360" w:lineRule="auto"/>
        <w:ind w:left="284" w:firstLine="280"/>
        <w:rPr>
          <w:rFonts w:hAnsi="宋体"/>
          <w:snapToGrid w:val="0"/>
          <w:color w:val="auto"/>
          <w:sz w:val="21"/>
          <w:szCs w:val="21"/>
          <w:highlight w:val="none"/>
        </w:rPr>
      </w:pPr>
      <w:r>
        <w:rPr>
          <w:rFonts w:hint="eastAsia" w:hAnsi="宋体"/>
          <w:snapToGrid w:val="0"/>
          <w:color w:val="auto"/>
          <w:sz w:val="21"/>
          <w:szCs w:val="21"/>
          <w:highlight w:val="none"/>
        </w:rPr>
        <w:t>2、评标委员会在评审过程中将对投标报价进行校核，并对有算术上的和累加运算上又差错给予修正。修正的原则如下：</w:t>
      </w:r>
    </w:p>
    <w:p w14:paraId="7CAF799B">
      <w:pPr>
        <w:pStyle w:val="9"/>
        <w:adjustRightInd w:val="0"/>
        <w:snapToGrid w:val="0"/>
        <w:spacing w:line="360" w:lineRule="auto"/>
        <w:rPr>
          <w:rFonts w:hAnsi="宋体"/>
          <w:snapToGrid w:val="0"/>
          <w:color w:val="auto"/>
          <w:sz w:val="21"/>
          <w:szCs w:val="21"/>
          <w:highlight w:val="none"/>
        </w:rPr>
      </w:pPr>
      <w:r>
        <w:rPr>
          <w:rFonts w:hint="eastAsia" w:hAnsi="宋体"/>
          <w:snapToGrid w:val="0"/>
          <w:color w:val="auto"/>
          <w:sz w:val="21"/>
          <w:szCs w:val="21"/>
          <w:highlight w:val="none"/>
        </w:rPr>
        <w:t>（1）当用数字表示的数额与用文字表示的数额不一致时，以文字表示的数额为准；</w:t>
      </w:r>
    </w:p>
    <w:p w14:paraId="51E3C29A">
      <w:pPr>
        <w:pStyle w:val="9"/>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（2）当综合单价与工程量的乘积与总价之间不一致时，以综合单价为准。若单价有明显的小数点错位，应以标出的总价为准，并同时对综合单价予以修正。</w:t>
      </w:r>
    </w:p>
    <w:p w14:paraId="13F470E0">
      <w:pPr>
        <w:pStyle w:val="9"/>
        <w:adjustRightInd w:val="0"/>
        <w:snapToGrid w:val="0"/>
        <w:spacing w:line="360" w:lineRule="auto"/>
        <w:ind w:left="284" w:firstLine="283"/>
        <w:rPr>
          <w:rFonts w:hAnsi="宋体"/>
          <w:snapToGrid w:val="0"/>
          <w:color w:val="auto"/>
          <w:sz w:val="21"/>
          <w:szCs w:val="21"/>
          <w:highlight w:val="none"/>
        </w:rPr>
      </w:pPr>
      <w:r>
        <w:rPr>
          <w:rFonts w:hint="eastAsia" w:hAnsi="宋体"/>
          <w:snapToGrid w:val="0"/>
          <w:color w:val="auto"/>
          <w:sz w:val="21"/>
          <w:szCs w:val="21"/>
          <w:highlight w:val="none"/>
        </w:rPr>
        <w:t>（3）当各细目的合价累计不等于总价时，应以各细目合价累计数为准，修正总价。</w:t>
      </w:r>
    </w:p>
    <w:p w14:paraId="51BC6A3A">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（4）工程量清单计价格式中列明的所有需要填报的单价和合价，投标人均应填报，未填报的单价和合价，视为此项费用已包含在工程量清单的其他单价和合价中。</w:t>
      </w:r>
    </w:p>
    <w:p w14:paraId="69C06DB6">
      <w:pPr>
        <w:pStyle w:val="9"/>
        <w:adjustRightInd w:val="0"/>
        <w:snapToGrid w:val="0"/>
        <w:spacing w:line="360" w:lineRule="auto"/>
        <w:ind w:firstLine="564"/>
        <w:rPr>
          <w:rFonts w:hAnsi="宋体"/>
          <w:snapToGrid w:val="0"/>
          <w:color w:val="auto"/>
          <w:sz w:val="21"/>
          <w:szCs w:val="21"/>
          <w:highlight w:val="none"/>
        </w:rPr>
      </w:pPr>
      <w:r>
        <w:rPr>
          <w:rFonts w:hint="eastAsia" w:hAnsi="宋体"/>
          <w:snapToGrid w:val="0"/>
          <w:color w:val="auto"/>
          <w:sz w:val="21"/>
          <w:szCs w:val="21"/>
          <w:highlight w:val="none"/>
        </w:rPr>
        <w:t>（5）按前款规定调整后的报价经投标人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2DA61444">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3、评标委员会按照上述规定的原则，要求投标人对相关内容进行澄清、说明或者补正、修正的，投标人应当按照要求进行澄清、说明或者补正、修正；投标人拒绝的，评标委员会可以否决其投标。</w:t>
      </w:r>
    </w:p>
    <w:p w14:paraId="4D55B852">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（二十一）投标人资格条件不符合国家有关规定和招标文件要求的，或者拒不按照要求对投标文件进行澄清、说明或者补正的，评标委员会可以否决其投标。</w:t>
      </w:r>
    </w:p>
    <w:p w14:paraId="0CB040FA">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（二十二）在评标过程中，废标的认定：</w:t>
      </w:r>
    </w:p>
    <w:p w14:paraId="361C3E77">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1、在评标过程中，评标委员会若发现投标人以他人的名义投标、串通投标、以行贿手段谋取中标或者以其他弄虚作假方式投标的，该投标人的投标将作废标处理。</w:t>
      </w:r>
    </w:p>
    <w:p w14:paraId="5DF12129">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2、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4A7CD016">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3、评标委员会将审查每一投标文件是否对招标文件提出的所有实质性要求和条件作出响应。未能在实质上响应的投标，将作废标处理</w:t>
      </w:r>
    </w:p>
    <w:p w14:paraId="02C20E76">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（二十三）投标文件有下述情形之一的，属于重大偏差，视为未能对招标文件作出实质性响应，并按前条规定作废标处理：</w:t>
      </w:r>
    </w:p>
    <w:p w14:paraId="6A699B47">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1．投标文件中的投标函未加盖投标人的公章及企业法定代表人印章的，或者企业法定代表人委托代理人没有合法、有效的委托书（原件）及委托代理人印章的；</w:t>
      </w:r>
    </w:p>
    <w:p w14:paraId="6A100677">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2．未按招标文件要求提供投标保证金的；</w:t>
      </w:r>
      <w:r>
        <w:rPr>
          <w:rFonts w:hAnsi="宋体"/>
          <w:snapToGrid w:val="0"/>
          <w:color w:val="auto"/>
          <w:sz w:val="21"/>
          <w:szCs w:val="21"/>
          <w:highlight w:val="none"/>
        </w:rPr>
        <w:t xml:space="preserve"> </w:t>
      </w:r>
    </w:p>
    <w:p w14:paraId="2933C776">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3．未按招标文件规定的格式填写，内容不全或关键字迹模糊、无法辨认的；</w:t>
      </w:r>
      <w:r>
        <w:rPr>
          <w:rFonts w:hAnsi="宋体"/>
          <w:snapToGrid w:val="0"/>
          <w:color w:val="auto"/>
          <w:sz w:val="21"/>
          <w:szCs w:val="21"/>
          <w:highlight w:val="none"/>
        </w:rPr>
        <w:t xml:space="preserve"> </w:t>
      </w:r>
    </w:p>
    <w:p w14:paraId="7D82E594">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4．投标人递交两份或多份内容不同的投标文件，或在一份投标文件中对同一招标项目报有两个或多个报价，且未声明哪一个有效，按招标文件规定提交备选投标方案的除外；</w:t>
      </w:r>
      <w:r>
        <w:rPr>
          <w:rFonts w:hAnsi="宋体"/>
          <w:snapToGrid w:val="0"/>
          <w:color w:val="auto"/>
          <w:sz w:val="21"/>
          <w:szCs w:val="21"/>
          <w:highlight w:val="none"/>
        </w:rPr>
        <w:t xml:space="preserve"> </w:t>
      </w:r>
    </w:p>
    <w:p w14:paraId="7A8BF616">
      <w:pPr>
        <w:pStyle w:val="9"/>
        <w:adjustRightInd w:val="0"/>
        <w:snapToGrid w:val="0"/>
        <w:spacing w:line="360" w:lineRule="auto"/>
        <w:ind w:firstLine="0"/>
        <w:rPr>
          <w:rFonts w:hint="eastAsia" w:hAnsi="宋体"/>
          <w:bCs/>
          <w:snapToGrid w:val="0"/>
          <w:color w:val="auto"/>
          <w:sz w:val="21"/>
          <w:szCs w:val="21"/>
          <w:highlight w:val="none"/>
        </w:rPr>
      </w:pPr>
      <w:r>
        <w:rPr>
          <w:rFonts w:hint="eastAsia" w:hAnsi="宋体"/>
          <w:snapToGrid w:val="0"/>
          <w:color w:val="auto"/>
          <w:sz w:val="21"/>
          <w:szCs w:val="21"/>
          <w:highlight w:val="none"/>
        </w:rPr>
        <w:t>5．</w:t>
      </w:r>
      <w:r>
        <w:rPr>
          <w:rFonts w:hint="eastAsia" w:hAnsi="宋体"/>
          <w:bCs/>
          <w:snapToGrid w:val="0"/>
          <w:color w:val="auto"/>
          <w:sz w:val="21"/>
          <w:szCs w:val="21"/>
          <w:highlight w:val="none"/>
        </w:rPr>
        <w:t>投标人名称或组织结构与资格预审时不一致的；</w:t>
      </w:r>
    </w:p>
    <w:p w14:paraId="2A8DED4A">
      <w:pPr>
        <w:pStyle w:val="9"/>
        <w:adjustRightInd w:val="0"/>
        <w:snapToGrid w:val="0"/>
        <w:spacing w:line="360" w:lineRule="auto"/>
        <w:ind w:firstLine="0"/>
        <w:rPr>
          <w:rFonts w:hint="eastAsia" w:hAnsi="宋体"/>
          <w:bCs/>
          <w:snapToGrid w:val="0"/>
          <w:color w:val="auto"/>
          <w:sz w:val="21"/>
          <w:szCs w:val="21"/>
          <w:highlight w:val="none"/>
        </w:rPr>
      </w:pPr>
      <w:r>
        <w:rPr>
          <w:rFonts w:hint="eastAsia" w:hAnsi="宋体"/>
          <w:bCs/>
          <w:snapToGrid w:val="0"/>
          <w:color w:val="auto"/>
          <w:sz w:val="21"/>
          <w:szCs w:val="21"/>
          <w:highlight w:val="none"/>
        </w:rPr>
        <w:t>6.除在投标文件截止时间前经招标人书面同意外，项目经理与投标报名时不一致的；</w:t>
      </w:r>
    </w:p>
    <w:p w14:paraId="009CF169">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7.投标人资格条件不符合国家有关规定或招标文件要求的；</w:t>
      </w:r>
    </w:p>
    <w:p w14:paraId="1B6A2E77">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8．投标文件载明的招标项目完成期限超过招标文件规定的期限；</w:t>
      </w:r>
      <w:r>
        <w:rPr>
          <w:rFonts w:hAnsi="宋体"/>
          <w:snapToGrid w:val="0"/>
          <w:color w:val="auto"/>
          <w:sz w:val="21"/>
          <w:szCs w:val="21"/>
          <w:highlight w:val="none"/>
        </w:rPr>
        <w:t xml:space="preserve"> </w:t>
      </w:r>
    </w:p>
    <w:p w14:paraId="6E564E89">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9．明显不符合技术规范、技术标准的要求；</w:t>
      </w:r>
      <w:r>
        <w:rPr>
          <w:rFonts w:hAnsi="宋体"/>
          <w:snapToGrid w:val="0"/>
          <w:color w:val="auto"/>
          <w:sz w:val="21"/>
          <w:szCs w:val="21"/>
          <w:highlight w:val="none"/>
        </w:rPr>
        <w:t xml:space="preserve"> </w:t>
      </w:r>
    </w:p>
    <w:p w14:paraId="21150B2D">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10．投标报价超过招标文件规定的最高限价的；</w:t>
      </w:r>
    </w:p>
    <w:p w14:paraId="0D75E4CE">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11．不同投标人的投标文件出现了评标委员会认为不应当雷同的情况；</w:t>
      </w:r>
    </w:p>
    <w:p w14:paraId="004D3CC5">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12．改变招标文件提供的工程量清单中的项目编码、项目名称、项目特征、计量单位、工程数量；</w:t>
      </w:r>
    </w:p>
    <w:p w14:paraId="73668E38">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13．改变招标文件规定的暂估价、暂列金额或不可竞争费用的； </w:t>
      </w:r>
      <w:r>
        <w:rPr>
          <w:rFonts w:hAnsi="宋体"/>
          <w:snapToGrid w:val="0"/>
          <w:color w:val="auto"/>
          <w:sz w:val="21"/>
          <w:szCs w:val="21"/>
          <w:highlight w:val="none"/>
        </w:rPr>
        <w:t xml:space="preserve"> </w:t>
      </w:r>
    </w:p>
    <w:p w14:paraId="78373848">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14．投标文件载明的货物包装方式、检验标准和方法等不符合招标文件的要求；</w:t>
      </w:r>
      <w:r>
        <w:rPr>
          <w:rFonts w:hAnsi="宋体"/>
          <w:snapToGrid w:val="0"/>
          <w:color w:val="auto"/>
          <w:sz w:val="21"/>
          <w:szCs w:val="21"/>
          <w:highlight w:val="none"/>
        </w:rPr>
        <w:t xml:space="preserve"> </w:t>
      </w:r>
    </w:p>
    <w:p w14:paraId="3F204023">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15．投标文件提出了不能满足招标文件要求或招标人不能接受的工程验收、计量、价款结算支付办法；</w:t>
      </w:r>
      <w:r>
        <w:rPr>
          <w:rFonts w:hAnsi="宋体"/>
          <w:snapToGrid w:val="0"/>
          <w:color w:val="auto"/>
          <w:sz w:val="21"/>
          <w:szCs w:val="21"/>
          <w:highlight w:val="none"/>
        </w:rPr>
        <w:t xml:space="preserve"> </w:t>
      </w:r>
    </w:p>
    <w:p w14:paraId="0F7196F3">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16．以他人的名义投标、串通投标、以行贿手段谋取中标或者以其他弄虚作假方式投标的；</w:t>
      </w:r>
    </w:p>
    <w:p w14:paraId="0D43ABD7">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17．经评标委员会认定投标人的投标报价低于成本价的；</w:t>
      </w:r>
    </w:p>
    <w:p w14:paraId="27F2B52A">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18. 组成联合体投标的，投标文件未附联合体各方共同投标协议的。</w:t>
      </w:r>
    </w:p>
    <w:p w14:paraId="66FD559D">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19. 法律、法规规定的其他废标情形或本招标文件规定的其他废标情形。</w:t>
      </w:r>
    </w:p>
    <w:p w14:paraId="3F07AFD1">
      <w:pPr>
        <w:pStyle w:val="9"/>
        <w:adjustRightInd w:val="0"/>
        <w:snapToGrid w:val="0"/>
        <w:spacing w:line="360" w:lineRule="auto"/>
        <w:ind w:firstLine="371" w:firstLineChars="177"/>
        <w:rPr>
          <w:rFonts w:hint="eastAsia" w:hAnsi="宋体"/>
          <w:snapToGrid w:val="0"/>
          <w:color w:val="auto"/>
          <w:sz w:val="21"/>
          <w:szCs w:val="21"/>
          <w:highlight w:val="none"/>
        </w:rPr>
      </w:pPr>
      <w:r>
        <w:rPr>
          <w:rFonts w:hint="eastAsia" w:hAnsi="宋体"/>
          <w:snapToGrid w:val="0"/>
          <w:color w:val="auto"/>
          <w:sz w:val="21"/>
          <w:szCs w:val="21"/>
          <w:highlight w:val="none"/>
        </w:rPr>
        <w:t>评标委员会根据规定否决不合格投标或者界定为废标后，因有效投标不足三个使得投标明显缺乏竞争的，评标委员会可以否决全部投标。所有投标被否决的，招标人依法重新招标。</w:t>
      </w:r>
    </w:p>
    <w:p w14:paraId="7AA0A418">
      <w:pPr>
        <w:pStyle w:val="9"/>
        <w:adjustRightInd w:val="0"/>
        <w:snapToGrid w:val="0"/>
        <w:spacing w:line="360" w:lineRule="auto"/>
        <w:ind w:firstLine="371" w:firstLineChars="177"/>
        <w:rPr>
          <w:rFonts w:hAnsi="宋体"/>
          <w:snapToGrid w:val="0"/>
          <w:color w:val="auto"/>
          <w:sz w:val="21"/>
          <w:szCs w:val="21"/>
          <w:highlight w:val="none"/>
        </w:rPr>
      </w:pPr>
      <w:r>
        <w:rPr>
          <w:rFonts w:hint="eastAsia" w:hAnsi="宋体"/>
          <w:snapToGrid w:val="0"/>
          <w:color w:val="auto"/>
          <w:sz w:val="21"/>
          <w:szCs w:val="21"/>
          <w:highlight w:val="none"/>
        </w:rPr>
        <w:t>评标委员会应当依据法律、法规和招标文件的规定认定重大偏差，不得随意确认无效投标文件。法律、法规招标文件未规定作为重大偏差的，一律作为细微偏差，评标委员会应当在初步评审中要求投标人补正。</w:t>
      </w:r>
    </w:p>
    <w:p w14:paraId="7D427471">
      <w:pPr>
        <w:adjustRightInd w:val="0"/>
        <w:snapToGrid w:val="0"/>
        <w:spacing w:line="360" w:lineRule="auto"/>
        <w:ind w:firstLine="24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（二十四）评标和定标将在投标有效期结束日30</w:t>
      </w:r>
      <w:r>
        <w:rPr>
          <w:rFonts w:ascii="宋体" w:hAnsi="宋体"/>
          <w:bCs/>
          <w:snapToGrid w:val="0"/>
          <w:color w:val="auto"/>
          <w:sz w:val="21"/>
          <w:szCs w:val="21"/>
          <w:highlight w:val="none"/>
        </w:rPr>
        <w:t>个工作日前完成。不能在投标有效期结束日</w:t>
      </w:r>
      <w:r>
        <w:rPr>
          <w:rFonts w:hint="eastAsia" w:ascii="宋体" w:hAnsi="宋体"/>
          <w:bCs/>
          <w:snapToGrid w:val="0"/>
          <w:color w:val="auto"/>
          <w:sz w:val="21"/>
          <w:szCs w:val="21"/>
          <w:highlight w:val="none"/>
        </w:rPr>
        <w:t>30</w:t>
      </w:r>
      <w:r>
        <w:rPr>
          <w:rFonts w:ascii="宋体" w:hAnsi="宋体"/>
          <w:bCs/>
          <w:snapToGrid w:val="0"/>
          <w:color w:val="auto"/>
          <w:sz w:val="21"/>
          <w:szCs w:val="21"/>
          <w:highlight w:val="none"/>
        </w:rPr>
        <w:t>个工作日前完成评标和定标的，招标人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给予补偿，但因不可抗力需延长投标有效期的除外。</w:t>
      </w:r>
    </w:p>
    <w:p w14:paraId="688C4D3A">
      <w:pPr>
        <w:pStyle w:val="4"/>
        <w:jc w:val="center"/>
        <w:rPr>
          <w:rFonts w:hint="eastAsia" w:ascii="宋体" w:hAnsi="宋体" w:eastAsia="宋体"/>
          <w:b/>
          <w:snapToGrid w:val="0"/>
          <w:color w:val="auto"/>
          <w:sz w:val="28"/>
          <w:szCs w:val="28"/>
          <w:highlight w:val="none"/>
        </w:rPr>
      </w:pPr>
      <w:bookmarkStart w:id="16" w:name="_Toc11055320"/>
      <w:bookmarkStart w:id="17" w:name="_Toc9360"/>
      <w:r>
        <w:rPr>
          <w:rFonts w:hint="eastAsia" w:ascii="宋体" w:hAnsi="宋体" w:eastAsia="宋体"/>
          <w:b/>
          <w:snapToGrid w:val="0"/>
          <w:color w:val="auto"/>
          <w:sz w:val="28"/>
          <w:szCs w:val="28"/>
          <w:highlight w:val="none"/>
        </w:rPr>
        <w:t>八、授  予  合  同</w:t>
      </w:r>
      <w:bookmarkEnd w:id="16"/>
      <w:bookmarkEnd w:id="17"/>
    </w:p>
    <w:p w14:paraId="5BE69148">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084CDEF1">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确定中标单位后，招标人将进行中标公示，公示</w:t>
      </w:r>
      <w:r>
        <w:rPr>
          <w:rFonts w:hint="eastAsia" w:ascii="宋体" w:hAnsi="宋体"/>
          <w:snapToGrid w:val="0"/>
          <w:color w:val="auto"/>
          <w:sz w:val="21"/>
          <w:szCs w:val="21"/>
          <w:highlight w:val="none"/>
          <w:lang w:eastAsia="zh-CN"/>
        </w:rPr>
        <w:t>三</w:t>
      </w:r>
      <w:r>
        <w:rPr>
          <w:rFonts w:hint="eastAsia" w:ascii="宋体" w:hAnsi="宋体"/>
          <w:snapToGrid w:val="0"/>
          <w:color w:val="auto"/>
          <w:sz w:val="21"/>
          <w:szCs w:val="21"/>
          <w:highlight w:val="none"/>
        </w:rPr>
        <w:t>天，如无异议，招标人向中标单位发出中标通知书，并同时将中标结果通知所有未中标的投标人。中标通知书将成为合同的组成部分。</w:t>
      </w:r>
    </w:p>
    <w:p w14:paraId="25795A3F">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中标单位收到中标通知书后，应在</w:t>
      </w:r>
      <w:r>
        <w:rPr>
          <w:rFonts w:hint="eastAsia" w:ascii="宋体" w:hAnsi="宋体"/>
          <w:snapToGrid w:val="0"/>
          <w:color w:val="auto"/>
          <w:sz w:val="21"/>
          <w:szCs w:val="21"/>
          <w:highlight w:val="none"/>
          <w:lang w:val="en-US" w:eastAsia="zh-CN"/>
        </w:rPr>
        <w:t>30</w:t>
      </w:r>
      <w:r>
        <w:rPr>
          <w:rFonts w:hint="eastAsia" w:ascii="宋体" w:hAnsi="宋体"/>
          <w:snapToGrid w:val="0"/>
          <w:color w:val="auto"/>
          <w:sz w:val="21"/>
          <w:szCs w:val="21"/>
          <w:highlight w:val="none"/>
        </w:rPr>
        <w:t>日内与招标人签订施工合同。中标人不与招标人订立合同的，投标保证金不予退还并取消其中标资格，给招标人造成的损失超过投标保证金数额的，应当对超过部分予以赔偿。</w:t>
      </w:r>
    </w:p>
    <w:p w14:paraId="11461405">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14:paraId="7A4480B0">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招标人与中标人将根据《中华人民共和国</w:t>
      </w:r>
      <w:r>
        <w:rPr>
          <w:rFonts w:hint="eastAsia" w:ascii="宋体" w:hAnsi="宋体"/>
          <w:snapToGrid w:val="0"/>
          <w:color w:val="auto"/>
          <w:sz w:val="21"/>
          <w:szCs w:val="21"/>
          <w:highlight w:val="none"/>
          <w:lang w:eastAsia="zh-CN"/>
        </w:rPr>
        <w:t>民法典</w:t>
      </w:r>
      <w:r>
        <w:rPr>
          <w:rFonts w:hint="eastAsia" w:ascii="宋体" w:hAnsi="宋体"/>
          <w:snapToGrid w:val="0"/>
          <w:color w:val="auto"/>
          <w:sz w:val="21"/>
          <w:szCs w:val="21"/>
          <w:highlight w:val="none"/>
        </w:rPr>
        <w:t>》的规定，依据招标文件和投标文件签订施工合同。</w:t>
      </w:r>
    </w:p>
    <w:p w14:paraId="46984147">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开标结束后，中标单位在签订合同前需缴纳履约保证金为合同价的10%，竣工验收合格后无息退还。</w:t>
      </w:r>
    </w:p>
    <w:p w14:paraId="69A641E3">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14:paraId="0EAFC886">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14:paraId="6CB8BDAF">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14:paraId="039B0091">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14:paraId="19D9DAC7">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1778955D">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04D794C9">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5692A54D">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446C9AD6">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7C0D6A35">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14:paraId="299FB25B">
      <w:pPr>
        <w:tabs>
          <w:tab w:val="left" w:pos="0"/>
          <w:tab w:val="left" w:pos="993"/>
          <w:tab w:val="left" w:pos="1134"/>
        </w:tabs>
        <w:adjustRightInd w:val="0"/>
        <w:snapToGrid w:val="0"/>
        <w:spacing w:line="360" w:lineRule="auto"/>
        <w:ind w:right="-246" w:rightChars="-123"/>
        <w:jc w:val="center"/>
        <w:outlineLvl w:val="0"/>
        <w:rPr>
          <w:rFonts w:ascii="宋体" w:hAnsi="宋体"/>
          <w:b/>
          <w:color w:val="auto"/>
          <w:sz w:val="30"/>
          <w:szCs w:val="30"/>
          <w:highlight w:val="none"/>
        </w:rPr>
        <w:sectPr>
          <w:pgSz w:w="11907" w:h="16840"/>
          <w:pgMar w:top="1440" w:right="1800" w:bottom="1440" w:left="1800" w:header="1077" w:footer="964" w:gutter="0"/>
          <w:pgNumType w:start="3"/>
          <w:cols w:space="720" w:num="1"/>
        </w:sectPr>
      </w:pPr>
    </w:p>
    <w:p w14:paraId="68D03F94">
      <w:pPr>
        <w:pStyle w:val="3"/>
        <w:numPr>
          <w:ilvl w:val="0"/>
          <w:numId w:val="0"/>
        </w:numPr>
        <w:jc w:val="center"/>
        <w:rPr>
          <w:rFonts w:hint="eastAsia" w:ascii="宋体" w:hAnsi="宋体" w:eastAsia="宋体" w:cs="宋体"/>
          <w:snapToGrid w:val="0"/>
          <w:color w:val="auto"/>
          <w:sz w:val="21"/>
          <w:szCs w:val="21"/>
          <w:highlight w:val="none"/>
        </w:rPr>
      </w:pPr>
      <w:bookmarkStart w:id="18" w:name="_Toc14912"/>
      <w:bookmarkStart w:id="19" w:name="_Toc9595"/>
      <w:r>
        <w:rPr>
          <w:rFonts w:hint="eastAsia" w:ascii="宋体" w:hAnsi="宋体" w:eastAsia="宋体" w:cs="宋体"/>
          <w:b/>
          <w:color w:val="auto"/>
          <w:sz w:val="21"/>
          <w:szCs w:val="21"/>
          <w:highlight w:val="none"/>
        </w:rPr>
        <w:t>第三章 合同（格式）</w:t>
      </w:r>
      <w:bookmarkEnd w:id="18"/>
      <w:bookmarkEnd w:id="19"/>
    </w:p>
    <w:p w14:paraId="7E935805">
      <w:pPr>
        <w:pStyle w:val="6"/>
        <w:rPr>
          <w:rFonts w:hint="eastAsia" w:ascii="宋体" w:hAnsi="宋体" w:eastAsia="宋体" w:cs="宋体"/>
          <w:snapToGrid w:val="0"/>
          <w:sz w:val="21"/>
          <w:szCs w:val="21"/>
        </w:rPr>
      </w:pPr>
    </w:p>
    <w:p w14:paraId="4A1FBFA8">
      <w:pPr>
        <w:jc w:val="center"/>
        <w:rPr>
          <w:rFonts w:hint="eastAsia" w:ascii="宋体" w:hAnsi="宋体" w:eastAsia="宋体" w:cs="宋体"/>
          <w:b/>
          <w:sz w:val="48"/>
          <w:szCs w:val="48"/>
          <w:highlight w:val="white"/>
        </w:rPr>
      </w:pPr>
    </w:p>
    <w:p w14:paraId="22BA5A36">
      <w:pPr>
        <w:jc w:val="center"/>
        <w:rPr>
          <w:rFonts w:hint="eastAsia" w:ascii="宋体" w:hAnsi="宋体" w:eastAsia="宋体" w:cs="宋体"/>
          <w:b/>
          <w:sz w:val="48"/>
          <w:szCs w:val="48"/>
          <w:highlight w:val="white"/>
        </w:rPr>
      </w:pPr>
    </w:p>
    <w:p w14:paraId="5B127BBE">
      <w:pPr>
        <w:pStyle w:val="2"/>
        <w:rPr>
          <w:rFonts w:hint="eastAsia"/>
        </w:rPr>
      </w:pPr>
    </w:p>
    <w:p w14:paraId="647380D6">
      <w:pPr>
        <w:pStyle w:val="2"/>
        <w:rPr>
          <w:rFonts w:hint="eastAsia"/>
        </w:rPr>
      </w:pP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8"/>
        <w:gridCol w:w="5455"/>
      </w:tblGrid>
      <w:tr w14:paraId="4E2FA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7048A251">
            <w:pPr>
              <w:jc w:val="center"/>
              <w:rPr>
                <w:rFonts w:ascii="宋体" w:hAnsi="宋体"/>
                <w:b/>
                <w:sz w:val="24"/>
              </w:rPr>
            </w:pPr>
            <w:r>
              <w:rPr>
                <w:rFonts w:hint="eastAsia" w:ascii="宋体" w:hAnsi="宋体"/>
                <w:b/>
                <w:sz w:val="24"/>
              </w:rPr>
              <w:t>工程名称</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01ECF1A7">
            <w:pPr>
              <w:jc w:val="center"/>
              <w:rPr>
                <w:rFonts w:ascii="宋体" w:hAnsi="宋体"/>
                <w:b/>
                <w:sz w:val="24"/>
              </w:rPr>
            </w:pPr>
          </w:p>
        </w:tc>
      </w:tr>
      <w:tr w14:paraId="6A718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5DF08867">
            <w:pPr>
              <w:jc w:val="center"/>
              <w:rPr>
                <w:rFonts w:hint="eastAsia" w:ascii="宋体" w:hAnsi="宋体"/>
                <w:b/>
                <w:sz w:val="24"/>
              </w:rPr>
            </w:pPr>
            <w:r>
              <w:rPr>
                <w:rFonts w:hint="eastAsia" w:ascii="宋体" w:hAnsi="宋体"/>
                <w:b/>
                <w:sz w:val="24"/>
                <w:lang w:val="en-US" w:eastAsia="zh-CN"/>
              </w:rPr>
              <w:t>施工</w:t>
            </w:r>
            <w:r>
              <w:rPr>
                <w:rFonts w:hint="eastAsia" w:ascii="宋体" w:hAnsi="宋体"/>
                <w:b/>
                <w:sz w:val="24"/>
              </w:rPr>
              <w:t>单位名称</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60C70B2A">
            <w:pPr>
              <w:jc w:val="center"/>
              <w:rPr>
                <w:rFonts w:ascii="宋体" w:hAnsi="宋体"/>
                <w:b/>
                <w:sz w:val="24"/>
              </w:rPr>
            </w:pPr>
          </w:p>
        </w:tc>
      </w:tr>
      <w:tr w14:paraId="49D5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371ADD0C">
            <w:pPr>
              <w:jc w:val="center"/>
              <w:rPr>
                <w:rFonts w:ascii="宋体" w:hAnsi="宋体"/>
                <w:b/>
                <w:sz w:val="24"/>
              </w:rPr>
            </w:pPr>
            <w:r>
              <w:rPr>
                <w:rFonts w:hint="eastAsia" w:ascii="宋体" w:hAnsi="宋体"/>
                <w:b/>
                <w:sz w:val="24"/>
              </w:rPr>
              <w:t>项目负责人</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1B8089F2">
            <w:pPr>
              <w:jc w:val="center"/>
              <w:rPr>
                <w:rFonts w:ascii="宋体" w:hAnsi="宋体"/>
                <w:b/>
                <w:sz w:val="24"/>
              </w:rPr>
            </w:pPr>
          </w:p>
        </w:tc>
      </w:tr>
      <w:tr w14:paraId="02D98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7034ED83">
            <w:pPr>
              <w:jc w:val="center"/>
              <w:rPr>
                <w:rFonts w:hint="eastAsia" w:ascii="宋体" w:hAnsi="宋体"/>
                <w:b/>
                <w:sz w:val="24"/>
              </w:rPr>
            </w:pPr>
            <w:r>
              <w:rPr>
                <w:rFonts w:hint="eastAsia" w:ascii="宋体" w:hAnsi="宋体"/>
                <w:b/>
                <w:sz w:val="24"/>
              </w:rPr>
              <w:t>施工工期</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1B4749A9">
            <w:pPr>
              <w:jc w:val="center"/>
              <w:rPr>
                <w:rFonts w:ascii="宋体" w:hAnsi="宋体"/>
                <w:b/>
                <w:sz w:val="24"/>
              </w:rPr>
            </w:pPr>
          </w:p>
        </w:tc>
      </w:tr>
      <w:tr w14:paraId="7BB2F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14:paraId="193B8902">
            <w:pPr>
              <w:jc w:val="center"/>
              <w:rPr>
                <w:rFonts w:hint="eastAsia" w:ascii="宋体" w:hAnsi="宋体"/>
                <w:b/>
                <w:sz w:val="24"/>
              </w:rPr>
            </w:pPr>
            <w:r>
              <w:rPr>
                <w:rFonts w:hint="eastAsia" w:ascii="宋体" w:hAnsi="宋体"/>
                <w:b/>
                <w:sz w:val="24"/>
              </w:rPr>
              <w:t>工程地点</w:t>
            </w:r>
          </w:p>
        </w:tc>
        <w:tc>
          <w:tcPr>
            <w:tcW w:w="5455" w:type="dxa"/>
            <w:tcBorders>
              <w:top w:val="single" w:color="auto" w:sz="4" w:space="0"/>
              <w:left w:val="single" w:color="auto" w:sz="4" w:space="0"/>
              <w:bottom w:val="single" w:color="auto" w:sz="4" w:space="0"/>
              <w:right w:val="single" w:color="auto" w:sz="4" w:space="0"/>
            </w:tcBorders>
            <w:noWrap w:val="0"/>
            <w:vAlign w:val="center"/>
          </w:tcPr>
          <w:p w14:paraId="49C58C10">
            <w:pPr>
              <w:jc w:val="center"/>
              <w:rPr>
                <w:rFonts w:ascii="宋体" w:hAnsi="宋体"/>
                <w:b/>
                <w:sz w:val="24"/>
              </w:rPr>
            </w:pPr>
          </w:p>
        </w:tc>
      </w:tr>
    </w:tbl>
    <w:p w14:paraId="65CF754D">
      <w:pPr>
        <w:rPr>
          <w:rFonts w:hint="eastAsia" w:ascii="宋体" w:hAnsi="宋体"/>
        </w:rPr>
      </w:pPr>
    </w:p>
    <w:p w14:paraId="748C02F0">
      <w:pPr>
        <w:rPr>
          <w:rFonts w:hint="eastAsia" w:ascii="宋体" w:hAnsi="宋体"/>
        </w:rPr>
      </w:pPr>
    </w:p>
    <w:p w14:paraId="575019CC">
      <w:pPr>
        <w:rPr>
          <w:rFonts w:hint="eastAsia" w:ascii="宋体" w:hAnsi="宋体"/>
        </w:rPr>
      </w:pPr>
    </w:p>
    <w:p w14:paraId="6A69A23D">
      <w:pPr>
        <w:jc w:val="center"/>
        <w:rPr>
          <w:rFonts w:hint="eastAsia" w:ascii="宋体" w:hAnsi="宋体"/>
          <w:b/>
          <w:bCs/>
          <w:sz w:val="28"/>
          <w:szCs w:val="28"/>
        </w:rPr>
      </w:pPr>
    </w:p>
    <w:p w14:paraId="25326669">
      <w:pPr>
        <w:jc w:val="center"/>
        <w:rPr>
          <w:rFonts w:hint="eastAsia" w:ascii="宋体" w:hAnsi="宋体"/>
          <w:b/>
          <w:bCs/>
          <w:sz w:val="28"/>
          <w:szCs w:val="28"/>
        </w:rPr>
      </w:pPr>
    </w:p>
    <w:p w14:paraId="682F093F">
      <w:pPr>
        <w:jc w:val="center"/>
        <w:rPr>
          <w:rFonts w:ascii="宋体" w:hAnsi="宋体"/>
          <w:b/>
          <w:bCs/>
          <w:sz w:val="28"/>
          <w:szCs w:val="28"/>
        </w:rPr>
      </w:pPr>
    </w:p>
    <w:p w14:paraId="1FD964FD">
      <w:pPr>
        <w:pStyle w:val="2"/>
      </w:pPr>
    </w:p>
    <w:p w14:paraId="77297A2C">
      <w:pPr>
        <w:pStyle w:val="2"/>
        <w:rPr>
          <w:rFonts w:hint="eastAsia"/>
        </w:rPr>
      </w:pPr>
    </w:p>
    <w:p w14:paraId="0B83D816">
      <w:pPr>
        <w:rPr>
          <w:rFonts w:hint="eastAsia"/>
        </w:rPr>
      </w:pPr>
    </w:p>
    <w:p w14:paraId="65C41391">
      <w:pPr>
        <w:pStyle w:val="6"/>
        <w:rPr>
          <w:rFonts w:hint="eastAsia"/>
        </w:rPr>
      </w:pPr>
    </w:p>
    <w:p w14:paraId="48EFED3D">
      <w:pPr>
        <w:snapToGrid w:val="0"/>
        <w:spacing w:line="360" w:lineRule="auto"/>
        <w:jc w:val="center"/>
        <w:outlineLvl w:val="0"/>
        <w:rPr>
          <w:rFonts w:hint="eastAsia" w:ascii="宋体" w:hAnsi="宋体" w:eastAsia="宋体" w:cs="Times New Roman"/>
          <w:b/>
          <w:sz w:val="21"/>
          <w:szCs w:val="21"/>
          <w:lang w:val="en-US" w:eastAsia="zh-CN"/>
        </w:rPr>
      </w:pPr>
    </w:p>
    <w:p w14:paraId="41A49C67">
      <w:pPr>
        <w:snapToGrid w:val="0"/>
        <w:spacing w:line="360" w:lineRule="auto"/>
        <w:jc w:val="center"/>
        <w:outlineLvl w:val="0"/>
        <w:rPr>
          <w:rFonts w:hint="eastAsia" w:ascii="宋体" w:hAnsi="宋体" w:eastAsia="宋体" w:cs="Times New Roman"/>
          <w:b/>
          <w:sz w:val="21"/>
          <w:szCs w:val="21"/>
          <w:lang w:val="en-US" w:eastAsia="zh-CN"/>
        </w:rPr>
      </w:pPr>
    </w:p>
    <w:p w14:paraId="6F005890">
      <w:pPr>
        <w:snapToGrid w:val="0"/>
        <w:spacing w:line="360" w:lineRule="auto"/>
        <w:jc w:val="center"/>
        <w:outlineLvl w:val="0"/>
        <w:rPr>
          <w:rFonts w:hint="eastAsia" w:ascii="宋体" w:hAnsi="宋体"/>
          <w:b/>
          <w:sz w:val="21"/>
          <w:szCs w:val="21"/>
        </w:rPr>
      </w:pPr>
      <w:r>
        <w:rPr>
          <w:rFonts w:hint="eastAsia" w:ascii="宋体" w:hAnsi="宋体" w:eastAsia="宋体" w:cs="Times New Roman"/>
          <w:b/>
          <w:sz w:val="21"/>
          <w:szCs w:val="21"/>
          <w:lang w:val="en-US" w:eastAsia="zh-CN"/>
        </w:rPr>
        <w:t xml:space="preserve">第1节  </w:t>
      </w:r>
      <w:r>
        <w:rPr>
          <w:rFonts w:hint="eastAsia" w:ascii="宋体" w:hAnsi="宋体" w:eastAsia="宋体" w:cs="Times New Roman"/>
          <w:b/>
          <w:sz w:val="21"/>
          <w:szCs w:val="21"/>
        </w:rPr>
        <w:t>通用合同条款</w:t>
      </w:r>
      <w:r>
        <w:rPr>
          <w:rFonts w:hint="eastAsia" w:ascii="宋体" w:hAnsi="宋体" w:eastAsia="宋体" w:cs="Times New Roman"/>
          <w:b/>
          <w:sz w:val="21"/>
          <w:szCs w:val="21"/>
          <w:lang w:eastAsia="zh-CN"/>
        </w:rPr>
        <w:t>（</w:t>
      </w:r>
      <w:r>
        <w:rPr>
          <w:rFonts w:hint="eastAsia" w:ascii="宋体" w:hAnsi="宋体" w:eastAsia="宋体" w:cs="Times New Roman"/>
          <w:b/>
          <w:sz w:val="21"/>
          <w:szCs w:val="21"/>
          <w:lang w:val="en-US" w:eastAsia="zh-CN"/>
        </w:rPr>
        <w:t>略）</w:t>
      </w:r>
      <w:bookmarkStart w:id="20" w:name="第04章合同条款及格式0101"/>
      <w:bookmarkEnd w:id="20"/>
      <w:bookmarkStart w:id="21" w:name="_Toc21827"/>
      <w:bookmarkStart w:id="22" w:name="_Toc18684"/>
      <w:bookmarkStart w:id="23" w:name="_Toc496171389"/>
      <w:bookmarkStart w:id="24" w:name="_Toc23339"/>
      <w:bookmarkStart w:id="25" w:name="_Toc15050"/>
      <w:bookmarkStart w:id="26" w:name="_Toc13232"/>
      <w:bookmarkStart w:id="27" w:name="_Toc340483304"/>
      <w:bookmarkStart w:id="28" w:name="_Toc28173"/>
      <w:bookmarkStart w:id="29" w:name="_Toc340483322"/>
      <w:bookmarkStart w:id="30" w:name="_Toc15615"/>
    </w:p>
    <w:p w14:paraId="70635445">
      <w:pPr>
        <w:snapToGrid w:val="0"/>
        <w:spacing w:line="360" w:lineRule="auto"/>
        <w:jc w:val="center"/>
        <w:outlineLvl w:val="0"/>
        <w:rPr>
          <w:rFonts w:ascii="宋体" w:hAnsi="宋体"/>
          <w:b/>
          <w:sz w:val="21"/>
          <w:szCs w:val="21"/>
        </w:rPr>
      </w:pPr>
      <w:r>
        <w:rPr>
          <w:rFonts w:hint="eastAsia" w:ascii="宋体" w:hAnsi="宋体"/>
          <w:b/>
          <w:sz w:val="21"/>
          <w:szCs w:val="21"/>
        </w:rPr>
        <w:t>第2节　专用合同条款</w:t>
      </w:r>
      <w:bookmarkEnd w:id="21"/>
      <w:bookmarkEnd w:id="22"/>
      <w:bookmarkEnd w:id="23"/>
      <w:bookmarkEnd w:id="24"/>
      <w:bookmarkEnd w:id="25"/>
      <w:bookmarkEnd w:id="26"/>
      <w:bookmarkEnd w:id="27"/>
      <w:bookmarkEnd w:id="28"/>
    </w:p>
    <w:p w14:paraId="42CE96CF">
      <w:pPr>
        <w:spacing w:line="360" w:lineRule="exact"/>
        <w:outlineLvl w:val="1"/>
        <w:rPr>
          <w:rFonts w:ascii="宋体" w:hAnsi="宋体"/>
          <w:b/>
          <w:sz w:val="21"/>
          <w:szCs w:val="21"/>
        </w:rPr>
      </w:pPr>
      <w:bookmarkStart w:id="31" w:name="第04章合同条款及格式0201"/>
      <w:bookmarkEnd w:id="31"/>
      <w:bookmarkStart w:id="32" w:name="_Toc943961"/>
      <w:bookmarkStart w:id="33" w:name="_Toc525977317"/>
      <w:bookmarkStart w:id="34" w:name="_Toc10464"/>
      <w:bookmarkStart w:id="35" w:name="_Toc2444"/>
      <w:bookmarkStart w:id="36" w:name="_Toc340483305"/>
      <w:bookmarkStart w:id="37" w:name="_Toc14526"/>
      <w:bookmarkStart w:id="38" w:name="_Toc522970354"/>
      <w:bookmarkStart w:id="39" w:name="_Toc646"/>
      <w:bookmarkStart w:id="40" w:name="_Toc4154"/>
      <w:bookmarkStart w:id="41" w:name="_Toc496171407"/>
      <w:r>
        <w:rPr>
          <w:rFonts w:hint="eastAsia" w:ascii="宋体" w:hAnsi="宋体"/>
          <w:b/>
          <w:sz w:val="21"/>
          <w:szCs w:val="21"/>
        </w:rPr>
        <w:t>1　一般约定</w:t>
      </w:r>
      <w:bookmarkEnd w:id="32"/>
      <w:bookmarkEnd w:id="33"/>
      <w:bookmarkEnd w:id="34"/>
      <w:bookmarkEnd w:id="35"/>
      <w:bookmarkEnd w:id="36"/>
      <w:bookmarkEnd w:id="37"/>
      <w:bookmarkEnd w:id="38"/>
    </w:p>
    <w:p w14:paraId="74587AD2">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w:t>
      </w:r>
      <w:r>
        <w:rPr>
          <w:rFonts w:hint="eastAsia" w:ascii="宋体" w:hAnsi="宋体"/>
          <w:sz w:val="21"/>
          <w:szCs w:val="21"/>
        </w:rPr>
        <w:t>　词语定义</w:t>
      </w:r>
    </w:p>
    <w:p w14:paraId="0E954AAA">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1.1.2</w:t>
      </w:r>
      <w:r>
        <w:rPr>
          <w:rFonts w:hint="eastAsia" w:ascii="宋体" w:hAnsi="宋体"/>
          <w:sz w:val="21"/>
          <w:szCs w:val="21"/>
        </w:rPr>
        <w:t>　合同当事人和人员</w:t>
      </w:r>
    </w:p>
    <w:p w14:paraId="4662B1DB">
      <w:pPr>
        <w:spacing w:line="360" w:lineRule="exact"/>
        <w:ind w:firstLine="420" w:firstLineChars="200"/>
        <w:rPr>
          <w:rFonts w:ascii="宋体" w:hAnsi="宋体"/>
          <w:sz w:val="21"/>
          <w:szCs w:val="21"/>
          <w:u w:val="single"/>
        </w:rPr>
      </w:pPr>
      <w:r>
        <w:rPr>
          <w:rFonts w:hint="eastAsia" w:ascii="宋体" w:hAnsi="宋体"/>
          <w:sz w:val="21"/>
          <w:szCs w:val="21"/>
        </w:rPr>
        <w:t>1</w:t>
      </w:r>
      <w:r>
        <w:rPr>
          <w:rFonts w:ascii="宋体" w:hAnsi="宋体"/>
          <w:sz w:val="21"/>
          <w:szCs w:val="21"/>
        </w:rPr>
        <w:t>.1.2.2</w:t>
      </w:r>
      <w:r>
        <w:rPr>
          <w:rFonts w:hint="eastAsia" w:ascii="宋体" w:hAnsi="宋体"/>
          <w:sz w:val="21"/>
          <w:szCs w:val="21"/>
        </w:rPr>
        <w:t>　发包人：</w:t>
      </w:r>
      <w:r>
        <w:rPr>
          <w:rFonts w:hint="eastAsia" w:ascii="宋体" w:hAnsi="宋体" w:eastAsia="宋体" w:cs="宋体"/>
          <w:b/>
          <w:bCs/>
          <w:color w:val="000000"/>
          <w:kern w:val="0"/>
          <w:sz w:val="22"/>
          <w:szCs w:val="22"/>
          <w:u w:val="single"/>
          <w:lang w:val="en-US" w:eastAsia="zh-CN"/>
        </w:rPr>
        <w:t>常州市金坛区薛埠镇茅庵村村民委员会</w:t>
      </w:r>
      <w:r>
        <w:rPr>
          <w:rFonts w:ascii="宋体" w:hAnsi="宋体"/>
          <w:sz w:val="21"/>
          <w:szCs w:val="21"/>
          <w:u w:val="single"/>
        </w:rPr>
        <w:t xml:space="preserve"> </w:t>
      </w:r>
    </w:p>
    <w:p w14:paraId="1F88A613">
      <w:pPr>
        <w:spacing w:line="360" w:lineRule="exact"/>
        <w:ind w:firstLine="420"/>
        <w:rPr>
          <w:rFonts w:ascii="宋体" w:hAnsi="宋体"/>
          <w:sz w:val="21"/>
          <w:szCs w:val="21"/>
        </w:rPr>
      </w:pPr>
      <w:r>
        <w:rPr>
          <w:rFonts w:ascii="宋体" w:hAnsi="宋体"/>
          <w:sz w:val="21"/>
          <w:szCs w:val="21"/>
        </w:rPr>
        <w:t>1.1.2.3</w:t>
      </w:r>
      <w:r>
        <w:rPr>
          <w:rFonts w:hint="eastAsia" w:ascii="宋体" w:hAnsi="宋体"/>
          <w:sz w:val="21"/>
          <w:szCs w:val="21"/>
        </w:rPr>
        <w:t>　承包人：</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签约后填入承包人的名称</w:t>
      </w:r>
      <w:r>
        <w:rPr>
          <w:rFonts w:ascii="宋体" w:hAnsi="宋体"/>
          <w:sz w:val="21"/>
          <w:szCs w:val="21"/>
        </w:rPr>
        <w:t>)</w:t>
      </w:r>
      <w:r>
        <w:rPr>
          <w:rFonts w:hint="eastAsia" w:ascii="宋体" w:hAnsi="宋体"/>
          <w:sz w:val="21"/>
          <w:szCs w:val="21"/>
        </w:rPr>
        <w:t>。</w:t>
      </w:r>
    </w:p>
    <w:p w14:paraId="073411D9">
      <w:pPr>
        <w:spacing w:line="360" w:lineRule="exact"/>
        <w:ind w:firstLine="420"/>
        <w:rPr>
          <w:rFonts w:ascii="宋体" w:hAnsi="宋体"/>
          <w:sz w:val="21"/>
          <w:szCs w:val="21"/>
        </w:rPr>
      </w:pPr>
      <w:r>
        <w:rPr>
          <w:rFonts w:hint="eastAsia" w:ascii="宋体" w:hAnsi="宋体"/>
          <w:sz w:val="21"/>
          <w:szCs w:val="21"/>
        </w:rPr>
        <w:t>1.1.2.4 项目负责人：</w:t>
      </w:r>
      <w:r>
        <w:rPr>
          <w:rFonts w:ascii="宋体" w:hAnsi="宋体"/>
          <w:sz w:val="21"/>
          <w:szCs w:val="21"/>
          <w:u w:val="single"/>
        </w:rPr>
        <w:t xml:space="preserve">                 </w:t>
      </w:r>
    </w:p>
    <w:p w14:paraId="43FC98FA">
      <w:pPr>
        <w:spacing w:line="360" w:lineRule="exact"/>
        <w:ind w:firstLine="420"/>
        <w:rPr>
          <w:rFonts w:ascii="宋体" w:hAnsi="宋体"/>
          <w:sz w:val="21"/>
          <w:szCs w:val="21"/>
        </w:rPr>
      </w:pPr>
      <w:r>
        <w:rPr>
          <w:rFonts w:ascii="宋体" w:hAnsi="宋体"/>
          <w:sz w:val="21"/>
          <w:szCs w:val="21"/>
        </w:rPr>
        <w:t>1.1.2.6</w:t>
      </w:r>
      <w:r>
        <w:rPr>
          <w:rFonts w:hint="eastAsia" w:ascii="宋体" w:hAnsi="宋体"/>
          <w:sz w:val="21"/>
          <w:szCs w:val="21"/>
        </w:rPr>
        <w:t>　监理人：</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填入监理人名称</w:t>
      </w:r>
      <w:r>
        <w:rPr>
          <w:rFonts w:ascii="宋体" w:hAnsi="宋体"/>
          <w:sz w:val="21"/>
          <w:szCs w:val="21"/>
        </w:rPr>
        <w:t>)</w:t>
      </w:r>
      <w:r>
        <w:rPr>
          <w:rFonts w:hint="eastAsia" w:ascii="宋体" w:hAnsi="宋体"/>
          <w:sz w:val="21"/>
          <w:szCs w:val="21"/>
        </w:rPr>
        <w:t>。</w:t>
      </w:r>
    </w:p>
    <w:p w14:paraId="1AA3A05F">
      <w:pPr>
        <w:spacing w:line="360" w:lineRule="exact"/>
        <w:ind w:firstLine="420"/>
        <w:rPr>
          <w:rFonts w:ascii="宋体" w:hAnsi="宋体"/>
          <w:sz w:val="21"/>
          <w:szCs w:val="21"/>
        </w:rPr>
      </w:pPr>
      <w:r>
        <w:rPr>
          <w:rFonts w:hint="eastAsia" w:ascii="宋体" w:hAnsi="宋体"/>
          <w:sz w:val="21"/>
          <w:szCs w:val="21"/>
        </w:rPr>
        <w:t>1.1.4.3  工期：</w:t>
      </w:r>
      <w:r>
        <w:rPr>
          <w:rFonts w:ascii="宋体" w:hAnsi="宋体"/>
          <w:sz w:val="21"/>
          <w:szCs w:val="21"/>
          <w:u w:val="single"/>
        </w:rPr>
        <w:t xml:space="preserve"> </w:t>
      </w:r>
      <w:r>
        <w:rPr>
          <w:rFonts w:hint="eastAsia" w:ascii="宋体" w:hAnsi="宋体"/>
          <w:sz w:val="21"/>
          <w:szCs w:val="21"/>
          <w:u w:val="single"/>
          <w:lang w:val="en-US" w:eastAsia="zh-CN"/>
        </w:rPr>
        <w:t>60日历天</w:t>
      </w:r>
      <w:r>
        <w:rPr>
          <w:rFonts w:ascii="宋体" w:hAnsi="宋体"/>
          <w:sz w:val="21"/>
          <w:szCs w:val="21"/>
          <w:u w:val="single"/>
        </w:rPr>
        <w:t xml:space="preserve">                           </w:t>
      </w:r>
    </w:p>
    <w:p w14:paraId="75ED4398">
      <w:pPr>
        <w:spacing w:line="360" w:lineRule="exact"/>
        <w:ind w:firstLine="420"/>
        <w:rPr>
          <w:rFonts w:ascii="宋体" w:hAnsi="宋体"/>
          <w:sz w:val="21"/>
          <w:szCs w:val="21"/>
        </w:rPr>
      </w:pPr>
      <w:r>
        <w:rPr>
          <w:rFonts w:ascii="宋体" w:hAnsi="宋体"/>
          <w:sz w:val="21"/>
          <w:szCs w:val="21"/>
        </w:rPr>
        <w:t>1.1.4.5</w:t>
      </w:r>
      <w:r>
        <w:rPr>
          <w:rFonts w:hint="eastAsia" w:ascii="宋体" w:hAnsi="宋体"/>
          <w:sz w:val="21"/>
          <w:szCs w:val="21"/>
        </w:rPr>
        <w:t>　缺陷责任期</w:t>
      </w:r>
      <w:r>
        <w:rPr>
          <w:rFonts w:ascii="宋体" w:hAnsi="宋体"/>
          <w:sz w:val="21"/>
          <w:szCs w:val="21"/>
        </w:rPr>
        <w:t>(</w:t>
      </w:r>
      <w:r>
        <w:rPr>
          <w:rFonts w:hint="eastAsia" w:ascii="宋体" w:hAnsi="宋体"/>
          <w:sz w:val="21"/>
          <w:szCs w:val="21"/>
        </w:rPr>
        <w:t>工程质量保修期</w:t>
      </w:r>
      <w:r>
        <w:rPr>
          <w:rFonts w:hint="eastAsia" w:ascii="宋体" w:hAnsi="宋体" w:eastAsia="宋体" w:cs="Times New Roman"/>
          <w:sz w:val="21"/>
          <w:szCs w:val="21"/>
        </w:rPr>
        <w:t>)：</w:t>
      </w:r>
      <w:r>
        <w:rPr>
          <w:rFonts w:hint="eastAsia" w:ascii="宋体" w:hAnsi="宋体" w:eastAsia="宋体" w:cs="Times New Roman"/>
          <w:sz w:val="21"/>
          <w:szCs w:val="21"/>
          <w:u w:val="single"/>
          <w:lang w:eastAsia="zh-CN"/>
        </w:rPr>
        <w:t xml:space="preserve">竣工验收合格后一年 </w:t>
      </w:r>
      <w:r>
        <w:rPr>
          <w:rFonts w:hint="eastAsia" w:ascii="宋体" w:hAnsi="宋体" w:eastAsia="宋体" w:cs="Times New Roman"/>
          <w:sz w:val="21"/>
          <w:szCs w:val="21"/>
        </w:rPr>
        <w:t>。</w:t>
      </w:r>
    </w:p>
    <w:p w14:paraId="4A2670A7">
      <w:pPr>
        <w:spacing w:line="360" w:lineRule="exact"/>
        <w:rPr>
          <w:rFonts w:ascii="宋体" w:hAnsi="宋体"/>
          <w:sz w:val="21"/>
          <w:szCs w:val="21"/>
        </w:rPr>
      </w:pPr>
      <w:r>
        <w:rPr>
          <w:rFonts w:hint="eastAsia" w:ascii="宋体" w:hAnsi="宋体"/>
          <w:sz w:val="21"/>
          <w:szCs w:val="21"/>
        </w:rPr>
        <w:t>1.4合同文件的优先顺序</w:t>
      </w:r>
    </w:p>
    <w:p w14:paraId="45AD63CC">
      <w:pPr>
        <w:spacing w:line="360" w:lineRule="exact"/>
        <w:rPr>
          <w:rFonts w:ascii="宋体" w:hAnsi="宋体"/>
          <w:sz w:val="21"/>
          <w:szCs w:val="21"/>
        </w:rPr>
      </w:pPr>
      <w:r>
        <w:rPr>
          <w:rFonts w:hint="eastAsia" w:ascii="宋体" w:hAnsi="宋体"/>
          <w:sz w:val="21"/>
          <w:szCs w:val="21"/>
        </w:rPr>
        <w:t>组成合同的各项文件应互相解释，互为说明。除专用合同条款另有约定外，解释合同文件的优先顺序如下：</w:t>
      </w:r>
    </w:p>
    <w:p w14:paraId="5FE36432">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1</w:t>
      </w:r>
      <w:r>
        <w:rPr>
          <w:rFonts w:hint="eastAsia" w:ascii="宋体" w:hAnsi="宋体"/>
          <w:sz w:val="21"/>
          <w:szCs w:val="21"/>
        </w:rPr>
        <w:t>）合同协议书；</w:t>
      </w:r>
    </w:p>
    <w:p w14:paraId="2E29EE0B">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）中标通知书；</w:t>
      </w:r>
    </w:p>
    <w:p w14:paraId="575E0220">
      <w:pPr>
        <w:spacing w:line="360" w:lineRule="exact"/>
        <w:ind w:firstLine="359" w:firstLineChars="171"/>
        <w:rPr>
          <w:rFonts w:ascii="宋体" w:hAnsi="宋体"/>
          <w:sz w:val="21"/>
          <w:szCs w:val="21"/>
        </w:rPr>
      </w:pPr>
      <w:r>
        <w:rPr>
          <w:rFonts w:hint="eastAsia" w:ascii="宋体" w:hAnsi="宋体"/>
          <w:sz w:val="21"/>
          <w:szCs w:val="21"/>
        </w:rPr>
        <w:t>（3）专用合同条款；</w:t>
      </w:r>
    </w:p>
    <w:p w14:paraId="0B19A0D5">
      <w:pPr>
        <w:spacing w:line="360" w:lineRule="exact"/>
        <w:ind w:firstLine="359" w:firstLineChars="171"/>
        <w:rPr>
          <w:rFonts w:ascii="宋体" w:hAnsi="宋体"/>
          <w:sz w:val="21"/>
          <w:szCs w:val="21"/>
        </w:rPr>
      </w:pPr>
      <w:r>
        <w:rPr>
          <w:rFonts w:hint="eastAsia" w:ascii="宋体" w:hAnsi="宋体"/>
          <w:sz w:val="21"/>
          <w:szCs w:val="21"/>
        </w:rPr>
        <w:t>（4）投标文件</w:t>
      </w:r>
    </w:p>
    <w:p w14:paraId="7F600413">
      <w:pPr>
        <w:spacing w:line="360" w:lineRule="exact"/>
        <w:ind w:firstLine="359" w:firstLineChars="171"/>
        <w:rPr>
          <w:rFonts w:ascii="宋体" w:hAnsi="宋体"/>
          <w:sz w:val="21"/>
          <w:szCs w:val="21"/>
        </w:rPr>
      </w:pPr>
      <w:r>
        <w:rPr>
          <w:rFonts w:hint="eastAsia" w:ascii="宋体" w:hAnsi="宋体"/>
          <w:sz w:val="21"/>
          <w:szCs w:val="21"/>
        </w:rPr>
        <w:t>（5）通用合同条款</w:t>
      </w:r>
      <w:r>
        <w:rPr>
          <w:rFonts w:hint="eastAsia" w:ascii="宋体" w:hAnsi="宋体"/>
          <w:sz w:val="21"/>
          <w:szCs w:val="21"/>
          <w:lang w:eastAsia="zh-CN"/>
        </w:rPr>
        <w:t>（</w:t>
      </w:r>
      <w:r>
        <w:rPr>
          <w:rFonts w:hint="eastAsia" w:ascii="宋体" w:hAnsi="宋体"/>
          <w:sz w:val="21"/>
          <w:szCs w:val="21"/>
          <w:lang w:val="en-US" w:eastAsia="zh-CN"/>
        </w:rPr>
        <w:t>略）</w:t>
      </w:r>
      <w:r>
        <w:rPr>
          <w:rFonts w:hint="eastAsia" w:ascii="宋体" w:hAnsi="宋体"/>
          <w:sz w:val="21"/>
          <w:szCs w:val="21"/>
        </w:rPr>
        <w:t>；</w:t>
      </w:r>
    </w:p>
    <w:p w14:paraId="427D693F">
      <w:pPr>
        <w:spacing w:line="360" w:lineRule="exact"/>
        <w:ind w:firstLine="359" w:firstLineChars="171"/>
        <w:rPr>
          <w:rFonts w:ascii="宋体" w:hAnsi="宋体"/>
          <w:sz w:val="21"/>
          <w:szCs w:val="21"/>
        </w:rPr>
      </w:pPr>
      <w:r>
        <w:rPr>
          <w:rFonts w:hint="eastAsia" w:ascii="宋体" w:hAnsi="宋体"/>
          <w:sz w:val="21"/>
          <w:szCs w:val="21"/>
        </w:rPr>
        <w:t>（6）投标函及投标函附录；</w:t>
      </w:r>
    </w:p>
    <w:p w14:paraId="3A3A3891">
      <w:pPr>
        <w:spacing w:line="360" w:lineRule="exact"/>
        <w:ind w:firstLine="359" w:firstLineChars="171"/>
        <w:rPr>
          <w:rFonts w:ascii="宋体" w:hAnsi="宋体"/>
          <w:sz w:val="21"/>
          <w:szCs w:val="21"/>
        </w:rPr>
      </w:pPr>
      <w:r>
        <w:rPr>
          <w:rFonts w:hint="eastAsia" w:ascii="宋体" w:hAnsi="宋体"/>
          <w:sz w:val="21"/>
          <w:szCs w:val="21"/>
        </w:rPr>
        <w:t>（7）技术标准和要求；</w:t>
      </w:r>
    </w:p>
    <w:p w14:paraId="6DDD9B96">
      <w:pPr>
        <w:spacing w:line="360" w:lineRule="exact"/>
        <w:ind w:firstLine="359" w:firstLineChars="171"/>
        <w:rPr>
          <w:rFonts w:ascii="宋体" w:hAnsi="宋体"/>
          <w:sz w:val="21"/>
          <w:szCs w:val="21"/>
        </w:rPr>
      </w:pPr>
      <w:r>
        <w:rPr>
          <w:rFonts w:hint="eastAsia" w:ascii="宋体" w:hAnsi="宋体"/>
          <w:sz w:val="21"/>
          <w:szCs w:val="21"/>
        </w:rPr>
        <w:t>（8）图纸；</w:t>
      </w:r>
    </w:p>
    <w:p w14:paraId="0EE185AE">
      <w:pPr>
        <w:spacing w:line="360" w:lineRule="exact"/>
        <w:ind w:firstLine="359" w:firstLineChars="171"/>
        <w:rPr>
          <w:rFonts w:ascii="宋体" w:hAnsi="宋体"/>
          <w:sz w:val="21"/>
          <w:szCs w:val="21"/>
        </w:rPr>
      </w:pPr>
      <w:r>
        <w:rPr>
          <w:rFonts w:hint="eastAsia" w:ascii="宋体" w:hAnsi="宋体"/>
          <w:sz w:val="21"/>
          <w:szCs w:val="21"/>
        </w:rPr>
        <w:t>（9）已标价工程量清单；</w:t>
      </w:r>
    </w:p>
    <w:p w14:paraId="760526C7">
      <w:pPr>
        <w:spacing w:line="360" w:lineRule="exact"/>
        <w:ind w:firstLine="359" w:firstLineChars="171"/>
        <w:rPr>
          <w:rFonts w:ascii="宋体" w:hAnsi="宋体"/>
          <w:sz w:val="21"/>
          <w:szCs w:val="21"/>
        </w:rPr>
      </w:pPr>
      <w:r>
        <w:rPr>
          <w:rFonts w:hint="eastAsia" w:ascii="宋体" w:hAnsi="宋体"/>
          <w:sz w:val="21"/>
          <w:szCs w:val="21"/>
        </w:rPr>
        <w:t>（10）其他合同文件。</w:t>
      </w:r>
    </w:p>
    <w:p w14:paraId="289ACE63">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1.7</w:t>
      </w:r>
      <w:r>
        <w:rPr>
          <w:rFonts w:hint="eastAsia" w:ascii="宋体" w:hAnsi="宋体"/>
          <w:sz w:val="21"/>
          <w:szCs w:val="21"/>
        </w:rPr>
        <w:t>　联络</w:t>
      </w:r>
    </w:p>
    <w:p w14:paraId="71564E3E">
      <w:pPr>
        <w:spacing w:line="360" w:lineRule="exact"/>
        <w:rPr>
          <w:rFonts w:hint="default" w:ascii="宋体" w:hAnsi="宋体" w:eastAsia="宋体"/>
          <w:sz w:val="21"/>
          <w:szCs w:val="21"/>
          <w:u w:val="single"/>
          <w:lang w:val="en-US" w:eastAsia="zh-CN"/>
        </w:rPr>
      </w:pPr>
      <w:r>
        <w:rPr>
          <w:rFonts w:hint="eastAsia" w:ascii="宋体" w:hAnsi="宋体"/>
          <w:sz w:val="21"/>
          <w:szCs w:val="21"/>
        </w:rPr>
        <w:t>　　</w:t>
      </w:r>
      <w:r>
        <w:rPr>
          <w:rFonts w:ascii="宋体" w:hAnsi="宋体"/>
          <w:sz w:val="21"/>
          <w:szCs w:val="21"/>
        </w:rPr>
        <w:t>1.7.2</w:t>
      </w:r>
      <w:r>
        <w:rPr>
          <w:rFonts w:hint="eastAsia" w:ascii="宋体" w:hAnsi="宋体"/>
          <w:sz w:val="21"/>
          <w:szCs w:val="21"/>
        </w:rPr>
        <w:t>　来往函件均应按技术标准和要求</w:t>
      </w:r>
      <w:r>
        <w:rPr>
          <w:rFonts w:ascii="宋体" w:hAnsi="宋体"/>
          <w:sz w:val="21"/>
          <w:szCs w:val="21"/>
        </w:rPr>
        <w:t>(</w:t>
      </w:r>
      <w:r>
        <w:rPr>
          <w:rFonts w:hint="eastAsia" w:ascii="宋体" w:hAnsi="宋体"/>
          <w:sz w:val="21"/>
          <w:szCs w:val="21"/>
        </w:rPr>
        <w:t>合同技术条款</w:t>
      </w:r>
      <w:r>
        <w:rPr>
          <w:rFonts w:ascii="宋体" w:hAnsi="宋体"/>
          <w:sz w:val="21"/>
          <w:szCs w:val="21"/>
        </w:rPr>
        <w:t>)</w:t>
      </w:r>
      <w:r>
        <w:rPr>
          <w:rFonts w:hint="eastAsia" w:ascii="宋体" w:hAnsi="宋体"/>
          <w:sz w:val="21"/>
          <w:szCs w:val="21"/>
        </w:rPr>
        <w:t>约定的期限送达</w:t>
      </w:r>
      <w:r>
        <w:rPr>
          <w:rFonts w:hint="eastAsia" w:ascii="宋体" w:hAnsi="宋体"/>
          <w:sz w:val="21"/>
          <w:szCs w:val="21"/>
          <w:u w:val="single"/>
          <w:lang w:val="zh-CN"/>
        </w:rPr>
        <w:t xml:space="preserve"> </w:t>
      </w:r>
      <w:r>
        <w:rPr>
          <w:rFonts w:hint="eastAsia" w:ascii="宋体" w:hAnsi="宋体" w:eastAsia="宋体" w:cs="宋体"/>
          <w:b/>
          <w:bCs/>
          <w:color w:val="000000"/>
          <w:kern w:val="0"/>
          <w:sz w:val="22"/>
          <w:szCs w:val="22"/>
          <w:u w:val="single"/>
          <w:lang w:val="en-US" w:eastAsia="zh-CN"/>
        </w:rPr>
        <w:t>常州市金坛区薛埠镇茅庵村村民委员会</w:t>
      </w:r>
      <w:r>
        <w:rPr>
          <w:rFonts w:ascii="宋体" w:hAnsi="宋体"/>
          <w:sz w:val="21"/>
          <w:szCs w:val="21"/>
          <w:u w:val="single"/>
        </w:rPr>
        <w:t xml:space="preserve"> </w:t>
      </w:r>
      <w:r>
        <w:rPr>
          <w:rFonts w:hint="eastAsia" w:ascii="宋体" w:hAnsi="宋体"/>
          <w:sz w:val="21"/>
          <w:szCs w:val="21"/>
          <w:u w:val="single"/>
          <w:lang w:val="en-US" w:eastAsia="zh-CN"/>
        </w:rPr>
        <w:t xml:space="preserve"> </w:t>
      </w:r>
    </w:p>
    <w:p w14:paraId="6223DC60">
      <w:pPr>
        <w:spacing w:line="360" w:lineRule="exact"/>
        <w:outlineLvl w:val="1"/>
        <w:rPr>
          <w:rFonts w:ascii="宋体" w:hAnsi="宋体"/>
          <w:b/>
          <w:sz w:val="21"/>
          <w:szCs w:val="21"/>
        </w:rPr>
      </w:pPr>
      <w:bookmarkStart w:id="42" w:name="第04章合同条款及格式0202"/>
      <w:bookmarkEnd w:id="42"/>
      <w:bookmarkStart w:id="43" w:name="_Toc340483306"/>
      <w:bookmarkStart w:id="44" w:name="_Toc943962"/>
      <w:bookmarkStart w:id="45" w:name="_Toc525977318"/>
      <w:bookmarkStart w:id="46" w:name="_Toc23650"/>
      <w:bookmarkStart w:id="47" w:name="_Toc15322"/>
      <w:bookmarkStart w:id="48" w:name="_Toc522970355"/>
      <w:bookmarkStart w:id="49" w:name="_Toc29258"/>
      <w:r>
        <w:rPr>
          <w:rFonts w:hint="eastAsia" w:ascii="宋体" w:hAnsi="宋体"/>
          <w:b/>
          <w:sz w:val="21"/>
          <w:szCs w:val="21"/>
        </w:rPr>
        <w:t>2　发包人义务</w:t>
      </w:r>
      <w:bookmarkEnd w:id="43"/>
      <w:bookmarkEnd w:id="44"/>
      <w:bookmarkEnd w:id="45"/>
      <w:bookmarkEnd w:id="46"/>
      <w:bookmarkEnd w:id="47"/>
      <w:bookmarkEnd w:id="48"/>
      <w:bookmarkEnd w:id="49"/>
    </w:p>
    <w:p w14:paraId="6760DB24">
      <w:pPr>
        <w:spacing w:line="360" w:lineRule="exact"/>
        <w:rPr>
          <w:rFonts w:ascii="宋体" w:hAnsi="宋体"/>
          <w:sz w:val="21"/>
          <w:szCs w:val="21"/>
        </w:rPr>
      </w:pPr>
      <w:r>
        <w:rPr>
          <w:rFonts w:hint="eastAsia" w:ascii="宋体" w:hAnsi="宋体"/>
          <w:sz w:val="21"/>
          <w:szCs w:val="21"/>
        </w:rPr>
        <w:t>　</w:t>
      </w:r>
      <w:r>
        <w:rPr>
          <w:rFonts w:ascii="宋体" w:hAnsi="宋体"/>
          <w:sz w:val="21"/>
          <w:szCs w:val="21"/>
        </w:rPr>
        <w:t>2.3</w:t>
      </w:r>
      <w:r>
        <w:rPr>
          <w:rFonts w:hint="eastAsia" w:ascii="宋体" w:hAnsi="宋体"/>
          <w:sz w:val="21"/>
          <w:szCs w:val="21"/>
        </w:rPr>
        <w:t>　提供施工场地</w:t>
      </w:r>
    </w:p>
    <w:p w14:paraId="5A2229BE">
      <w:pPr>
        <w:spacing w:line="360" w:lineRule="exact"/>
        <w:ind w:firstLine="420"/>
        <w:rPr>
          <w:rFonts w:ascii="宋体" w:hAnsi="宋体"/>
          <w:sz w:val="21"/>
          <w:szCs w:val="21"/>
        </w:rPr>
      </w:pPr>
      <w:r>
        <w:rPr>
          <w:rFonts w:ascii="宋体" w:hAnsi="宋体"/>
          <w:sz w:val="21"/>
          <w:szCs w:val="21"/>
        </w:rPr>
        <w:t>2.3.2</w:t>
      </w:r>
      <w:r>
        <w:rPr>
          <w:rFonts w:hint="eastAsia" w:ascii="宋体" w:hAnsi="宋体"/>
          <w:sz w:val="21"/>
          <w:szCs w:val="21"/>
        </w:rPr>
        <w:t>　发包人提供的施工场地范围为：</w:t>
      </w:r>
      <w:r>
        <w:rPr>
          <w:rFonts w:hint="eastAsia" w:ascii="宋体" w:hAnsi="宋体"/>
          <w:sz w:val="21"/>
          <w:szCs w:val="21"/>
          <w:u w:val="single"/>
        </w:rPr>
        <w:t>　发包人负责向承包人提供工程占地，范围见招标图纸，在承包人进场前由监理人组织交接。临时施工道路，堆场、机械、设备占地、</w:t>
      </w:r>
      <w:r>
        <w:rPr>
          <w:rFonts w:hint="eastAsia" w:ascii="宋体" w:hAnsi="宋体"/>
          <w:sz w:val="21"/>
          <w:szCs w:val="21"/>
          <w:u w:val="single"/>
          <w:lang w:val="en-US" w:eastAsia="zh-CN"/>
        </w:rPr>
        <w:t>施工用电、</w:t>
      </w:r>
      <w:r>
        <w:rPr>
          <w:rFonts w:hint="eastAsia" w:ascii="宋体" w:hAnsi="宋体"/>
          <w:sz w:val="21"/>
          <w:szCs w:val="21"/>
          <w:u w:val="single"/>
        </w:rPr>
        <w:t>生活等临时占地由承包人解决，发包人协助，发生的费用在投标报价中考虑由承包人支付　</w:t>
      </w:r>
      <w:r>
        <w:rPr>
          <w:rFonts w:hint="eastAsia" w:ascii="宋体" w:hAnsi="宋体"/>
          <w:sz w:val="21"/>
          <w:szCs w:val="21"/>
        </w:rPr>
        <w:t>。</w:t>
      </w:r>
    </w:p>
    <w:p w14:paraId="2483400D">
      <w:pPr>
        <w:spacing w:line="360" w:lineRule="exact"/>
        <w:rPr>
          <w:rFonts w:hint="eastAsia" w:ascii="宋体" w:hAnsi="宋体"/>
          <w:sz w:val="21"/>
          <w:szCs w:val="21"/>
        </w:rPr>
      </w:pPr>
      <w:bookmarkStart w:id="50" w:name="_Toc3965"/>
      <w:r>
        <w:rPr>
          <w:rFonts w:hint="eastAsia" w:ascii="宋体" w:hAnsi="宋体"/>
          <w:sz w:val="21"/>
          <w:szCs w:val="21"/>
        </w:rPr>
        <w:t>2.4 协助承包人办理证件和批件</w:t>
      </w:r>
      <w:bookmarkEnd w:id="50"/>
    </w:p>
    <w:p w14:paraId="0DE1240C">
      <w:pPr>
        <w:spacing w:line="360" w:lineRule="exact"/>
        <w:ind w:firstLine="420" w:firstLineChars="200"/>
        <w:rPr>
          <w:rFonts w:ascii="宋体" w:hAnsi="宋体"/>
          <w:sz w:val="21"/>
          <w:szCs w:val="21"/>
        </w:rPr>
      </w:pPr>
      <w:r>
        <w:rPr>
          <w:rFonts w:hint="eastAsia" w:ascii="宋体" w:hAnsi="宋体"/>
          <w:sz w:val="21"/>
          <w:szCs w:val="21"/>
        </w:rPr>
        <w:t>发包人应协助承包人办理法律规定的有关施工证件和批件，但办理相应证件的费用由承包人支付，并在投标报价中予以考虑。</w:t>
      </w:r>
    </w:p>
    <w:p w14:paraId="3C09D7B9">
      <w:pPr>
        <w:spacing w:line="360" w:lineRule="exact"/>
        <w:outlineLvl w:val="1"/>
        <w:rPr>
          <w:rFonts w:ascii="宋体" w:hAnsi="宋体"/>
          <w:b/>
          <w:sz w:val="21"/>
          <w:szCs w:val="21"/>
        </w:rPr>
      </w:pPr>
      <w:bookmarkStart w:id="51" w:name="第04章合同条款及格式0203"/>
      <w:bookmarkEnd w:id="51"/>
      <w:bookmarkStart w:id="52" w:name="_Toc24712"/>
      <w:bookmarkStart w:id="53" w:name="_Toc522970356"/>
      <w:bookmarkStart w:id="54" w:name="_Toc21223"/>
      <w:bookmarkStart w:id="55" w:name="_Toc340483307"/>
      <w:bookmarkStart w:id="56" w:name="_Toc23616"/>
      <w:bookmarkStart w:id="57" w:name="_Toc943963"/>
      <w:bookmarkStart w:id="58" w:name="_Toc525977319"/>
      <w:r>
        <w:rPr>
          <w:rFonts w:hint="eastAsia" w:ascii="宋体" w:hAnsi="宋体"/>
          <w:b/>
          <w:sz w:val="21"/>
          <w:szCs w:val="21"/>
        </w:rPr>
        <w:t>3　监理人</w:t>
      </w:r>
      <w:bookmarkEnd w:id="52"/>
      <w:bookmarkEnd w:id="53"/>
      <w:bookmarkEnd w:id="54"/>
      <w:bookmarkEnd w:id="55"/>
      <w:bookmarkEnd w:id="56"/>
      <w:bookmarkEnd w:id="57"/>
      <w:bookmarkEnd w:id="58"/>
    </w:p>
    <w:p w14:paraId="2AF40A27">
      <w:pPr>
        <w:spacing w:line="360" w:lineRule="exact"/>
        <w:rPr>
          <w:rFonts w:ascii="宋体" w:hAnsi="宋体"/>
          <w:sz w:val="21"/>
          <w:szCs w:val="21"/>
        </w:rPr>
      </w:pPr>
      <w:r>
        <w:rPr>
          <w:rFonts w:hint="eastAsia" w:ascii="宋体" w:hAnsi="宋体"/>
          <w:sz w:val="21"/>
          <w:szCs w:val="21"/>
        </w:rPr>
        <w:t>　</w:t>
      </w:r>
      <w:r>
        <w:rPr>
          <w:rFonts w:ascii="宋体" w:hAnsi="宋体"/>
          <w:sz w:val="21"/>
          <w:szCs w:val="21"/>
        </w:rPr>
        <w:t>3.1</w:t>
      </w:r>
      <w:r>
        <w:rPr>
          <w:rFonts w:hint="eastAsia" w:ascii="宋体" w:hAnsi="宋体"/>
          <w:sz w:val="21"/>
          <w:szCs w:val="21"/>
        </w:rPr>
        <w:t>　监理人的职责和权力</w:t>
      </w:r>
    </w:p>
    <w:p w14:paraId="19C77CEE">
      <w:pPr>
        <w:spacing w:line="360" w:lineRule="exact"/>
        <w:ind w:firstLine="420"/>
        <w:rPr>
          <w:rFonts w:ascii="宋体" w:hAnsi="宋体"/>
          <w:sz w:val="21"/>
          <w:szCs w:val="21"/>
        </w:rPr>
      </w:pPr>
      <w:r>
        <w:rPr>
          <w:rFonts w:ascii="宋体" w:hAnsi="宋体"/>
          <w:sz w:val="21"/>
          <w:szCs w:val="21"/>
        </w:rPr>
        <w:t>3.1.1</w:t>
      </w:r>
      <w:r>
        <w:rPr>
          <w:rFonts w:hint="eastAsia" w:ascii="宋体" w:hAnsi="宋体"/>
          <w:sz w:val="21"/>
          <w:szCs w:val="21"/>
        </w:rPr>
        <w:t>（补充）监理人在行使下列权利前，必须得到发包人的批准。</w:t>
      </w:r>
    </w:p>
    <w:p w14:paraId="03CB4CA4">
      <w:pPr>
        <w:spacing w:line="360" w:lineRule="exact"/>
        <w:ind w:firstLine="420" w:firstLineChars="200"/>
        <w:rPr>
          <w:rFonts w:ascii="宋体" w:hAnsi="宋体"/>
          <w:sz w:val="21"/>
          <w:szCs w:val="21"/>
        </w:rPr>
      </w:pPr>
      <w:r>
        <w:rPr>
          <w:rFonts w:ascii="宋体" w:hAnsi="宋体"/>
          <w:sz w:val="21"/>
          <w:szCs w:val="21"/>
        </w:rPr>
        <w:t>1</w:t>
      </w:r>
      <w:r>
        <w:rPr>
          <w:rFonts w:hint="eastAsia" w:ascii="宋体" w:hAnsi="宋体"/>
          <w:sz w:val="21"/>
          <w:szCs w:val="21"/>
        </w:rPr>
        <w:t>）按第</w:t>
      </w:r>
      <w:r>
        <w:rPr>
          <w:rFonts w:ascii="宋体" w:hAnsi="宋体"/>
          <w:sz w:val="21"/>
          <w:szCs w:val="21"/>
        </w:rPr>
        <w:t>4.3</w:t>
      </w:r>
      <w:r>
        <w:rPr>
          <w:rFonts w:hint="eastAsia" w:ascii="宋体" w:hAnsi="宋体"/>
          <w:sz w:val="21"/>
          <w:szCs w:val="21"/>
        </w:rPr>
        <w:t>款规定，批准工程的分包；</w:t>
      </w:r>
    </w:p>
    <w:p w14:paraId="4AC7C8B6">
      <w:pPr>
        <w:spacing w:line="360" w:lineRule="exact"/>
        <w:rPr>
          <w:rFonts w:ascii="宋体" w:hAnsi="宋体"/>
          <w:sz w:val="21"/>
          <w:szCs w:val="21"/>
        </w:rPr>
      </w:pPr>
      <w:r>
        <w:rPr>
          <w:rFonts w:ascii="宋体" w:hAnsi="宋体"/>
          <w:sz w:val="21"/>
          <w:szCs w:val="21"/>
        </w:rPr>
        <w:t xml:space="preserve">    2</w:t>
      </w:r>
      <w:r>
        <w:rPr>
          <w:rFonts w:hint="eastAsia" w:ascii="宋体" w:hAnsi="宋体"/>
          <w:sz w:val="21"/>
          <w:szCs w:val="21"/>
        </w:rPr>
        <w:t>）按第</w:t>
      </w:r>
      <w:r>
        <w:rPr>
          <w:rFonts w:ascii="宋体" w:hAnsi="宋体"/>
          <w:sz w:val="21"/>
          <w:szCs w:val="21"/>
        </w:rPr>
        <w:t>11.5</w:t>
      </w:r>
      <w:r>
        <w:rPr>
          <w:rFonts w:hint="eastAsia" w:ascii="宋体" w:hAnsi="宋体"/>
          <w:sz w:val="21"/>
          <w:szCs w:val="21"/>
        </w:rPr>
        <w:t>款规定，确定延长完工期限；</w:t>
      </w:r>
      <w:r>
        <w:rPr>
          <w:rFonts w:ascii="宋体" w:hAnsi="宋体"/>
          <w:sz w:val="21"/>
          <w:szCs w:val="21"/>
        </w:rPr>
        <w:t xml:space="preserve"> </w:t>
      </w:r>
    </w:p>
    <w:p w14:paraId="37C19C9A">
      <w:pPr>
        <w:spacing w:line="360" w:lineRule="exact"/>
        <w:rPr>
          <w:rFonts w:ascii="宋体" w:hAnsi="宋体"/>
          <w:sz w:val="21"/>
          <w:szCs w:val="21"/>
        </w:rPr>
      </w:pPr>
      <w:r>
        <w:rPr>
          <w:rFonts w:ascii="宋体" w:hAnsi="宋体"/>
          <w:sz w:val="21"/>
          <w:szCs w:val="21"/>
        </w:rPr>
        <w:t xml:space="preserve">    3</w:t>
      </w:r>
      <w:r>
        <w:rPr>
          <w:rFonts w:hint="eastAsia" w:ascii="宋体" w:hAnsi="宋体"/>
          <w:sz w:val="21"/>
          <w:szCs w:val="21"/>
        </w:rPr>
        <w:t>）按第</w:t>
      </w:r>
      <w:r>
        <w:rPr>
          <w:rFonts w:ascii="宋体" w:hAnsi="宋体"/>
          <w:sz w:val="21"/>
          <w:szCs w:val="21"/>
        </w:rPr>
        <w:t>12</w:t>
      </w:r>
      <w:r>
        <w:rPr>
          <w:rFonts w:hint="eastAsia" w:ascii="宋体" w:hAnsi="宋体"/>
          <w:sz w:val="21"/>
          <w:szCs w:val="21"/>
        </w:rPr>
        <w:t>条规定，涉及全局的暂停施工、复工；</w:t>
      </w:r>
    </w:p>
    <w:p w14:paraId="63529321">
      <w:pPr>
        <w:spacing w:line="360" w:lineRule="exact"/>
        <w:rPr>
          <w:rFonts w:ascii="宋体" w:hAnsi="宋体"/>
          <w:sz w:val="21"/>
          <w:szCs w:val="21"/>
        </w:rPr>
      </w:pPr>
      <w:r>
        <w:rPr>
          <w:rFonts w:ascii="宋体" w:hAnsi="宋体"/>
          <w:sz w:val="21"/>
          <w:szCs w:val="21"/>
        </w:rPr>
        <w:t xml:space="preserve">    4</w:t>
      </w:r>
      <w:r>
        <w:rPr>
          <w:rFonts w:hint="eastAsia" w:ascii="宋体" w:hAnsi="宋体"/>
          <w:sz w:val="21"/>
          <w:szCs w:val="21"/>
        </w:rPr>
        <w:t>）按第</w:t>
      </w:r>
      <w:r>
        <w:rPr>
          <w:rFonts w:ascii="宋体" w:hAnsi="宋体"/>
          <w:sz w:val="21"/>
          <w:szCs w:val="21"/>
        </w:rPr>
        <w:t>15</w:t>
      </w:r>
      <w:r>
        <w:rPr>
          <w:rFonts w:hint="eastAsia" w:ascii="宋体" w:hAnsi="宋体"/>
          <w:sz w:val="21"/>
          <w:szCs w:val="21"/>
        </w:rPr>
        <w:t>条规定，当变更引起任何合同价格变动时作出变更决定；</w:t>
      </w:r>
      <w:r>
        <w:rPr>
          <w:rFonts w:ascii="宋体" w:hAnsi="宋体"/>
          <w:sz w:val="21"/>
          <w:szCs w:val="21"/>
        </w:rPr>
        <w:t xml:space="preserve"> </w:t>
      </w:r>
    </w:p>
    <w:p w14:paraId="1B613C88">
      <w:pPr>
        <w:spacing w:line="360" w:lineRule="exact"/>
        <w:ind w:firstLine="420" w:firstLineChars="200"/>
        <w:rPr>
          <w:rFonts w:ascii="宋体" w:hAnsi="宋体"/>
          <w:sz w:val="21"/>
          <w:szCs w:val="21"/>
        </w:rPr>
      </w:pPr>
      <w:r>
        <w:rPr>
          <w:rFonts w:ascii="宋体" w:hAnsi="宋体"/>
          <w:sz w:val="21"/>
          <w:szCs w:val="21"/>
        </w:rPr>
        <w:t>5</w:t>
      </w:r>
      <w:r>
        <w:rPr>
          <w:rFonts w:hint="eastAsia" w:ascii="宋体" w:hAnsi="宋体"/>
          <w:sz w:val="21"/>
          <w:szCs w:val="21"/>
        </w:rPr>
        <w:t>）按第</w:t>
      </w:r>
      <w:r>
        <w:rPr>
          <w:rFonts w:ascii="宋体" w:hAnsi="宋体"/>
          <w:sz w:val="21"/>
          <w:szCs w:val="21"/>
        </w:rPr>
        <w:t>17</w:t>
      </w:r>
      <w:r>
        <w:rPr>
          <w:rFonts w:hint="eastAsia" w:ascii="宋体" w:hAnsi="宋体"/>
          <w:sz w:val="21"/>
          <w:szCs w:val="21"/>
        </w:rPr>
        <w:t>条规定，工程量的计量；</w:t>
      </w:r>
    </w:p>
    <w:p w14:paraId="51895711">
      <w:pPr>
        <w:spacing w:line="360" w:lineRule="exact"/>
        <w:rPr>
          <w:rFonts w:ascii="宋体" w:hAnsi="宋体"/>
          <w:sz w:val="21"/>
          <w:szCs w:val="21"/>
        </w:rPr>
      </w:pPr>
      <w:r>
        <w:rPr>
          <w:rFonts w:ascii="宋体" w:hAnsi="宋体"/>
          <w:sz w:val="21"/>
          <w:szCs w:val="21"/>
        </w:rPr>
        <w:t xml:space="preserve">    6</w:t>
      </w:r>
      <w:r>
        <w:rPr>
          <w:rFonts w:hint="eastAsia" w:ascii="宋体" w:hAnsi="宋体"/>
          <w:sz w:val="21"/>
          <w:szCs w:val="21"/>
        </w:rPr>
        <w:t>）按第</w:t>
      </w:r>
      <w:r>
        <w:rPr>
          <w:rFonts w:ascii="宋体" w:hAnsi="宋体"/>
          <w:sz w:val="21"/>
          <w:szCs w:val="21"/>
        </w:rPr>
        <w:t>23</w:t>
      </w:r>
      <w:r>
        <w:rPr>
          <w:rFonts w:hint="eastAsia" w:ascii="宋体" w:hAnsi="宋体"/>
          <w:sz w:val="21"/>
          <w:szCs w:val="21"/>
        </w:rPr>
        <w:t>条规定，索赔的批准与支付。</w:t>
      </w:r>
    </w:p>
    <w:p w14:paraId="485EA359">
      <w:pPr>
        <w:spacing w:line="360" w:lineRule="exact"/>
        <w:outlineLvl w:val="1"/>
        <w:rPr>
          <w:rFonts w:ascii="宋体" w:hAnsi="宋体"/>
          <w:b/>
          <w:sz w:val="21"/>
          <w:szCs w:val="21"/>
        </w:rPr>
      </w:pPr>
      <w:bookmarkStart w:id="59" w:name="第04章合同条款及格式0204"/>
      <w:bookmarkEnd w:id="59"/>
      <w:bookmarkStart w:id="60" w:name="_Toc340483308"/>
      <w:bookmarkStart w:id="61" w:name="_Toc22098"/>
      <w:bookmarkStart w:id="62" w:name="_Toc522970357"/>
      <w:bookmarkStart w:id="63" w:name="_Toc8448"/>
      <w:bookmarkStart w:id="64" w:name="_Toc17904"/>
      <w:bookmarkStart w:id="65" w:name="_Toc943964"/>
      <w:bookmarkStart w:id="66" w:name="_Toc525977320"/>
      <w:r>
        <w:rPr>
          <w:rFonts w:hint="eastAsia" w:ascii="宋体" w:hAnsi="宋体"/>
          <w:b/>
          <w:sz w:val="21"/>
          <w:szCs w:val="21"/>
        </w:rPr>
        <w:t>4　承包人</w:t>
      </w:r>
      <w:bookmarkEnd w:id="60"/>
      <w:bookmarkEnd w:id="61"/>
      <w:bookmarkEnd w:id="62"/>
      <w:bookmarkEnd w:id="63"/>
      <w:bookmarkEnd w:id="64"/>
      <w:bookmarkEnd w:id="65"/>
      <w:bookmarkEnd w:id="66"/>
    </w:p>
    <w:p w14:paraId="0D141CC9">
      <w:pPr>
        <w:spacing w:line="360" w:lineRule="exact"/>
        <w:rPr>
          <w:rFonts w:ascii="宋体" w:hAnsi="宋体"/>
          <w:sz w:val="21"/>
          <w:szCs w:val="21"/>
        </w:rPr>
      </w:pPr>
      <w:r>
        <w:rPr>
          <w:rFonts w:hint="eastAsia" w:ascii="宋体" w:hAnsi="宋体"/>
          <w:sz w:val="21"/>
          <w:szCs w:val="21"/>
        </w:rPr>
        <w:t>4.1履约担保</w:t>
      </w:r>
    </w:p>
    <w:p w14:paraId="3165D1A2">
      <w:pPr>
        <w:spacing w:line="360" w:lineRule="exact"/>
        <w:rPr>
          <w:rFonts w:hint="eastAsia" w:ascii="宋体" w:hAnsi="宋体" w:eastAsia="宋体" w:cs="宋体"/>
          <w:color w:val="000000"/>
          <w:kern w:val="0"/>
          <w:sz w:val="21"/>
          <w:szCs w:val="21"/>
          <w:lang w:val="en-US" w:eastAsia="zh-CN"/>
        </w:rPr>
      </w:pPr>
      <w:r>
        <w:rPr>
          <w:rFonts w:hint="eastAsia" w:ascii="宋体" w:hAnsi="宋体"/>
          <w:sz w:val="21"/>
          <w:szCs w:val="21"/>
        </w:rPr>
        <w:t>　</w:t>
      </w:r>
      <w:r>
        <w:rPr>
          <w:rFonts w:hint="eastAsia" w:ascii="宋体" w:hAnsi="宋体" w:eastAsia="宋体" w:cs="宋体"/>
          <w:color w:val="000000"/>
          <w:kern w:val="0"/>
          <w:sz w:val="21"/>
          <w:szCs w:val="21"/>
          <w:lang w:val="en-US" w:eastAsia="zh-CN"/>
        </w:rPr>
        <w:t>承包人应在合同签订前将合同价款的10%的履约保证金以现金</w:t>
      </w:r>
      <w:r>
        <w:rPr>
          <w:rFonts w:hint="eastAsia" w:ascii="宋体" w:hAnsi="宋体" w:cs="宋体"/>
          <w:color w:val="000000"/>
          <w:kern w:val="0"/>
          <w:sz w:val="21"/>
          <w:szCs w:val="21"/>
          <w:lang w:val="en-US" w:eastAsia="zh-CN"/>
        </w:rPr>
        <w:t>或转账</w:t>
      </w:r>
      <w:r>
        <w:rPr>
          <w:rFonts w:hint="eastAsia" w:ascii="宋体" w:hAnsi="宋体" w:eastAsia="宋体" w:cs="宋体"/>
          <w:color w:val="000000"/>
          <w:kern w:val="0"/>
          <w:sz w:val="21"/>
          <w:szCs w:val="21"/>
          <w:lang w:val="en-US" w:eastAsia="zh-CN"/>
        </w:rPr>
        <w:t>（合同签订前从单位基本账户交至招标人指定账户）形式缴纳；履约保证金在工程整体竣工验收后发包人无息退还给承包人。</w:t>
      </w:r>
    </w:p>
    <w:p w14:paraId="3320986F">
      <w:pPr>
        <w:spacing w:line="360" w:lineRule="exact"/>
        <w:rPr>
          <w:rFonts w:ascii="宋体" w:hAnsi="宋体"/>
          <w:sz w:val="21"/>
          <w:szCs w:val="21"/>
        </w:rPr>
      </w:pPr>
      <w:r>
        <w:rPr>
          <w:rFonts w:ascii="宋体" w:hAnsi="宋体"/>
          <w:sz w:val="21"/>
          <w:szCs w:val="21"/>
        </w:rPr>
        <w:t>4.</w:t>
      </w:r>
      <w:r>
        <w:rPr>
          <w:rFonts w:hint="eastAsia" w:ascii="宋体" w:hAnsi="宋体"/>
          <w:sz w:val="21"/>
          <w:szCs w:val="21"/>
        </w:rPr>
        <w:t>2　分包</w:t>
      </w:r>
    </w:p>
    <w:p w14:paraId="7063C718">
      <w:pPr>
        <w:spacing w:line="360" w:lineRule="exact"/>
        <w:rPr>
          <w:rFonts w:ascii="宋体" w:hAnsi="宋体"/>
          <w:sz w:val="21"/>
          <w:szCs w:val="21"/>
        </w:rPr>
      </w:pPr>
      <w:r>
        <w:rPr>
          <w:rFonts w:ascii="宋体" w:hAnsi="宋体"/>
          <w:sz w:val="21"/>
          <w:szCs w:val="21"/>
        </w:rPr>
        <w:t>4.</w:t>
      </w:r>
      <w:r>
        <w:rPr>
          <w:rFonts w:hint="eastAsia" w:ascii="宋体" w:hAnsi="宋体"/>
          <w:sz w:val="21"/>
          <w:szCs w:val="21"/>
        </w:rPr>
        <w:t>2</w:t>
      </w:r>
      <w:r>
        <w:rPr>
          <w:rFonts w:ascii="宋体" w:hAnsi="宋体"/>
          <w:sz w:val="21"/>
          <w:szCs w:val="21"/>
        </w:rPr>
        <w:t>.</w:t>
      </w:r>
      <w:r>
        <w:rPr>
          <w:rFonts w:hint="eastAsia" w:ascii="宋体" w:hAnsi="宋体"/>
          <w:sz w:val="21"/>
          <w:szCs w:val="21"/>
        </w:rPr>
        <w:t>1　本工程不允许分包。</w:t>
      </w:r>
    </w:p>
    <w:p w14:paraId="06B73A02">
      <w:pPr>
        <w:spacing w:line="360" w:lineRule="exact"/>
        <w:rPr>
          <w:rFonts w:ascii="宋体" w:hAnsi="宋体"/>
          <w:sz w:val="21"/>
          <w:szCs w:val="21"/>
        </w:rPr>
      </w:pPr>
      <w:r>
        <w:rPr>
          <w:rFonts w:hint="eastAsia" w:ascii="宋体" w:hAnsi="宋体"/>
          <w:sz w:val="21"/>
          <w:szCs w:val="21"/>
        </w:rPr>
        <w:t>4.3 联合体</w:t>
      </w:r>
    </w:p>
    <w:p w14:paraId="578E715F">
      <w:pPr>
        <w:spacing w:line="360" w:lineRule="exact"/>
        <w:rPr>
          <w:rFonts w:ascii="宋体" w:hAnsi="宋体"/>
          <w:sz w:val="21"/>
          <w:szCs w:val="21"/>
        </w:rPr>
      </w:pPr>
      <w:r>
        <w:rPr>
          <w:rFonts w:hint="eastAsia" w:ascii="宋体" w:hAnsi="宋体"/>
          <w:sz w:val="21"/>
          <w:szCs w:val="21"/>
        </w:rPr>
        <w:t>4.3.1 本工程不接受联合体投标</w:t>
      </w:r>
    </w:p>
    <w:p w14:paraId="3E686D53">
      <w:pPr>
        <w:spacing w:line="360" w:lineRule="exact"/>
        <w:rPr>
          <w:rFonts w:ascii="宋体" w:hAnsi="宋体"/>
          <w:sz w:val="21"/>
          <w:szCs w:val="21"/>
        </w:rPr>
      </w:pPr>
      <w:r>
        <w:rPr>
          <w:rFonts w:ascii="宋体" w:hAnsi="宋体"/>
          <w:sz w:val="21"/>
          <w:szCs w:val="21"/>
        </w:rPr>
        <w:t>4.</w:t>
      </w:r>
      <w:r>
        <w:rPr>
          <w:rFonts w:hint="eastAsia" w:ascii="宋体" w:hAnsi="宋体"/>
          <w:sz w:val="21"/>
          <w:szCs w:val="21"/>
        </w:rPr>
        <w:t>4　承包人项目经理</w:t>
      </w:r>
    </w:p>
    <w:p w14:paraId="3231E290">
      <w:pPr>
        <w:spacing w:line="360" w:lineRule="exact"/>
        <w:rPr>
          <w:rFonts w:ascii="宋体" w:hAnsi="宋体"/>
          <w:color w:val="auto"/>
          <w:sz w:val="21"/>
          <w:szCs w:val="21"/>
        </w:rPr>
      </w:pPr>
      <w:r>
        <w:rPr>
          <w:rFonts w:ascii="宋体" w:hAnsi="宋体"/>
          <w:color w:val="auto"/>
          <w:sz w:val="21"/>
          <w:szCs w:val="21"/>
        </w:rPr>
        <w:t>4.</w:t>
      </w:r>
      <w:r>
        <w:rPr>
          <w:rFonts w:hint="eastAsia" w:ascii="宋体" w:hAnsi="宋体"/>
          <w:color w:val="auto"/>
          <w:sz w:val="21"/>
          <w:szCs w:val="21"/>
        </w:rPr>
        <w:t>4</w:t>
      </w:r>
      <w:r>
        <w:rPr>
          <w:rFonts w:ascii="宋体" w:hAnsi="宋体"/>
          <w:color w:val="auto"/>
          <w:sz w:val="21"/>
          <w:szCs w:val="21"/>
        </w:rPr>
        <w:t>.1</w:t>
      </w:r>
      <w:r>
        <w:rPr>
          <w:rFonts w:hint="eastAsia" w:ascii="宋体" w:hAnsi="宋体"/>
          <w:color w:val="auto"/>
          <w:sz w:val="21"/>
          <w:szCs w:val="21"/>
        </w:rPr>
        <w:t>项目经理必须常驻现场，每周不少于5天，由发包人及监理单位使用相关设备负责考勤，每查到一次不在岗罚款1000元。发包人及监理召开例会时，项目经理必须参加，不参加例会，罚款1000元/次，罚金在下次付款时予以扣除。</w:t>
      </w:r>
    </w:p>
    <w:p w14:paraId="3FCE4671">
      <w:pPr>
        <w:spacing w:line="360" w:lineRule="exact"/>
        <w:rPr>
          <w:rFonts w:ascii="宋体" w:hAnsi="宋体"/>
          <w:sz w:val="21"/>
          <w:szCs w:val="21"/>
        </w:rPr>
      </w:pPr>
      <w:r>
        <w:rPr>
          <w:rFonts w:hint="eastAsia" w:ascii="宋体" w:hAnsi="宋体"/>
          <w:sz w:val="21"/>
          <w:szCs w:val="21"/>
        </w:rPr>
        <w:t>4.5 工程价款应专款专用</w:t>
      </w:r>
    </w:p>
    <w:p w14:paraId="775B8903">
      <w:pPr>
        <w:spacing w:line="360" w:lineRule="exact"/>
        <w:rPr>
          <w:rFonts w:ascii="宋体" w:hAnsi="宋体"/>
          <w:sz w:val="21"/>
          <w:szCs w:val="21"/>
        </w:rPr>
      </w:pPr>
      <w:r>
        <w:rPr>
          <w:rFonts w:hint="eastAsia" w:ascii="宋体" w:hAnsi="宋体"/>
          <w:sz w:val="21"/>
          <w:szCs w:val="21"/>
        </w:rPr>
        <w:t>发包人按合同约定支付给承包人的各项价款应专用于合同工程。承包人应在发包人指定银行开设账户，检查不规范发包人可拒绝付款。</w:t>
      </w:r>
    </w:p>
    <w:p w14:paraId="25C7599F">
      <w:pPr>
        <w:spacing w:line="360" w:lineRule="exact"/>
        <w:outlineLvl w:val="1"/>
        <w:rPr>
          <w:rFonts w:ascii="宋体" w:hAnsi="宋体"/>
          <w:sz w:val="21"/>
          <w:szCs w:val="21"/>
        </w:rPr>
      </w:pPr>
      <w:bookmarkStart w:id="67" w:name="第04章合同条款及格式0205"/>
      <w:bookmarkEnd w:id="67"/>
      <w:bookmarkStart w:id="68" w:name="_Toc340483309"/>
      <w:bookmarkStart w:id="69" w:name="_Toc11454"/>
      <w:bookmarkStart w:id="70" w:name="_Toc522970358"/>
      <w:bookmarkStart w:id="71" w:name="_Toc525977321"/>
      <w:bookmarkStart w:id="72" w:name="_Toc30232"/>
      <w:bookmarkStart w:id="73" w:name="_Toc943965"/>
      <w:bookmarkStart w:id="74" w:name="_Toc4797"/>
      <w:r>
        <w:rPr>
          <w:rFonts w:hint="eastAsia" w:ascii="宋体" w:hAnsi="宋体"/>
          <w:b/>
          <w:sz w:val="21"/>
          <w:szCs w:val="21"/>
        </w:rPr>
        <w:t>5　材料和工程设备</w:t>
      </w:r>
      <w:bookmarkEnd w:id="68"/>
      <w:bookmarkEnd w:id="69"/>
      <w:bookmarkEnd w:id="70"/>
      <w:bookmarkEnd w:id="71"/>
      <w:bookmarkEnd w:id="72"/>
      <w:bookmarkEnd w:id="73"/>
      <w:bookmarkEnd w:id="74"/>
    </w:p>
    <w:p w14:paraId="66CDECFC">
      <w:pPr>
        <w:spacing w:line="360" w:lineRule="exact"/>
        <w:ind w:left="210"/>
        <w:rPr>
          <w:rFonts w:ascii="宋体" w:hAnsi="宋体"/>
          <w:sz w:val="21"/>
          <w:szCs w:val="21"/>
        </w:rPr>
      </w:pPr>
      <w:r>
        <w:rPr>
          <w:rFonts w:hint="eastAsia" w:ascii="宋体" w:hAnsi="宋体"/>
          <w:sz w:val="21"/>
          <w:szCs w:val="21"/>
        </w:rPr>
        <w:t>5.1发包人提供的材料和工程设备；</w:t>
      </w:r>
    </w:p>
    <w:p w14:paraId="25DC347A">
      <w:pPr>
        <w:spacing w:line="360" w:lineRule="exact"/>
        <w:ind w:firstLine="105" w:firstLineChars="50"/>
        <w:rPr>
          <w:rFonts w:ascii="宋体" w:hAnsi="宋体"/>
          <w:sz w:val="21"/>
          <w:szCs w:val="21"/>
        </w:rPr>
      </w:pPr>
      <w:r>
        <w:rPr>
          <w:rFonts w:hint="eastAsia" w:ascii="宋体" w:hAnsi="宋体"/>
          <w:sz w:val="21"/>
          <w:szCs w:val="21"/>
        </w:rPr>
        <w:t>发包人不提供任何工程设备。但材料与设备的采购需经发包人同意。</w:t>
      </w:r>
    </w:p>
    <w:p w14:paraId="715AACE2">
      <w:pPr>
        <w:spacing w:line="360" w:lineRule="exact"/>
        <w:outlineLvl w:val="1"/>
        <w:rPr>
          <w:rFonts w:ascii="宋体" w:hAnsi="宋体"/>
          <w:b/>
          <w:sz w:val="21"/>
          <w:szCs w:val="21"/>
        </w:rPr>
      </w:pPr>
      <w:bookmarkStart w:id="75" w:name="_Toc10823"/>
      <w:bookmarkStart w:id="76" w:name="_Toc943966"/>
      <w:bookmarkStart w:id="77" w:name="_Toc522970359"/>
      <w:bookmarkStart w:id="78" w:name="_Toc525977322"/>
      <w:bookmarkStart w:id="79" w:name="_Toc26691"/>
      <w:bookmarkStart w:id="80" w:name="_Toc25283"/>
      <w:r>
        <w:rPr>
          <w:rFonts w:hint="eastAsia" w:ascii="宋体" w:hAnsi="宋体"/>
          <w:b/>
          <w:sz w:val="21"/>
          <w:szCs w:val="21"/>
        </w:rPr>
        <w:t>6 施工设备和临时设施</w:t>
      </w:r>
      <w:bookmarkEnd w:id="75"/>
      <w:bookmarkEnd w:id="76"/>
      <w:bookmarkEnd w:id="77"/>
      <w:bookmarkEnd w:id="78"/>
      <w:bookmarkEnd w:id="79"/>
      <w:bookmarkEnd w:id="80"/>
    </w:p>
    <w:p w14:paraId="014B74E8">
      <w:pPr>
        <w:spacing w:line="360" w:lineRule="exact"/>
        <w:rPr>
          <w:rFonts w:ascii="宋体" w:hAnsi="宋体"/>
          <w:sz w:val="21"/>
          <w:szCs w:val="21"/>
        </w:rPr>
      </w:pPr>
      <w:r>
        <w:rPr>
          <w:rFonts w:hint="eastAsia" w:ascii="宋体" w:hAnsi="宋体"/>
          <w:sz w:val="21"/>
          <w:szCs w:val="21"/>
        </w:rPr>
        <w:t>6.1.2承包人应自行承担修建临时设施的费用，需要临时占地的，发包人配合承包人办理申请手续，但由此发生的费用由承包人在投标报价中考虑。</w:t>
      </w:r>
    </w:p>
    <w:p w14:paraId="7D0AC373">
      <w:pPr>
        <w:spacing w:line="360" w:lineRule="exact"/>
        <w:outlineLvl w:val="1"/>
        <w:rPr>
          <w:rFonts w:ascii="宋体" w:hAnsi="宋体"/>
          <w:b/>
          <w:sz w:val="21"/>
          <w:szCs w:val="21"/>
        </w:rPr>
      </w:pPr>
      <w:bookmarkStart w:id="81" w:name="第04章合同条款及格式0206"/>
      <w:bookmarkEnd w:id="81"/>
      <w:bookmarkStart w:id="82" w:name="第04章合同条款及格式0207"/>
      <w:bookmarkEnd w:id="82"/>
      <w:bookmarkStart w:id="83" w:name="_Toc26444"/>
      <w:bookmarkStart w:id="84" w:name="_Toc30416"/>
      <w:bookmarkStart w:id="85" w:name="_Toc6281"/>
      <w:bookmarkStart w:id="86" w:name="_Toc943967"/>
      <w:bookmarkStart w:id="87" w:name="_Toc522970360"/>
      <w:bookmarkStart w:id="88" w:name="_Toc340483310"/>
      <w:bookmarkStart w:id="89" w:name="_Toc525977323"/>
      <w:r>
        <w:rPr>
          <w:rFonts w:hint="eastAsia" w:ascii="宋体" w:hAnsi="宋体"/>
          <w:b/>
          <w:sz w:val="21"/>
          <w:szCs w:val="21"/>
        </w:rPr>
        <w:t>7　交通运输</w:t>
      </w:r>
      <w:bookmarkEnd w:id="83"/>
      <w:bookmarkEnd w:id="84"/>
      <w:bookmarkEnd w:id="85"/>
      <w:bookmarkEnd w:id="86"/>
      <w:bookmarkEnd w:id="87"/>
      <w:bookmarkEnd w:id="88"/>
      <w:bookmarkEnd w:id="89"/>
    </w:p>
    <w:p w14:paraId="5EC58049">
      <w:pPr>
        <w:numPr>
          <w:ilvl w:val="1"/>
          <w:numId w:val="8"/>
        </w:numPr>
        <w:snapToGrid w:val="0"/>
        <w:spacing w:line="360" w:lineRule="exact"/>
        <w:rPr>
          <w:rFonts w:ascii="宋体" w:hAnsi="宋体"/>
          <w:b/>
          <w:sz w:val="21"/>
          <w:szCs w:val="21"/>
        </w:rPr>
      </w:pPr>
      <w:r>
        <w:rPr>
          <w:rFonts w:hint="eastAsia" w:ascii="宋体" w:hAnsi="宋体"/>
          <w:b/>
          <w:sz w:val="21"/>
          <w:szCs w:val="21"/>
        </w:rPr>
        <w:t>场外交通</w:t>
      </w:r>
    </w:p>
    <w:p w14:paraId="0CCCDB05">
      <w:pPr>
        <w:spacing w:line="360" w:lineRule="exact"/>
        <w:rPr>
          <w:rFonts w:ascii="宋体" w:hAnsi="宋体"/>
          <w:b/>
          <w:sz w:val="21"/>
          <w:szCs w:val="21"/>
        </w:rPr>
      </w:pPr>
      <w:r>
        <w:rPr>
          <w:rFonts w:ascii="宋体" w:hAnsi="宋体"/>
          <w:b/>
          <w:sz w:val="21"/>
          <w:szCs w:val="21"/>
        </w:rPr>
        <w:t xml:space="preserve">    </w:t>
      </w:r>
      <w:r>
        <w:rPr>
          <w:rFonts w:hint="eastAsia" w:ascii="宋体" w:hAnsi="宋体"/>
          <w:b/>
          <w:sz w:val="21"/>
          <w:szCs w:val="21"/>
        </w:rPr>
        <w:t>应考虑实际施工情况，场内、场外等临时用道路应包含在投标报价中。</w:t>
      </w:r>
    </w:p>
    <w:p w14:paraId="5043B3D8">
      <w:pPr>
        <w:spacing w:line="360" w:lineRule="exact"/>
        <w:ind w:firstLine="420" w:firstLineChars="200"/>
        <w:rPr>
          <w:rFonts w:ascii="宋体" w:hAnsi="宋体"/>
          <w:sz w:val="21"/>
          <w:szCs w:val="21"/>
        </w:rPr>
      </w:pPr>
      <w:r>
        <w:rPr>
          <w:rFonts w:ascii="宋体" w:hAnsi="宋体"/>
          <w:sz w:val="21"/>
          <w:szCs w:val="21"/>
        </w:rPr>
        <w:t>7.3.3</w:t>
      </w:r>
      <w:r>
        <w:rPr>
          <w:rFonts w:hint="eastAsia" w:ascii="宋体" w:hAnsi="宋体"/>
          <w:sz w:val="21"/>
          <w:szCs w:val="21"/>
        </w:rPr>
        <w:t>承包人应加强车辆管理，严禁使用无证、报废车辆上路，严禁超载运输，遵守当地交通规则，承担与此相关的责任和费用。</w:t>
      </w:r>
    </w:p>
    <w:p w14:paraId="5DEBD5EC">
      <w:pPr>
        <w:spacing w:line="360" w:lineRule="exact"/>
        <w:ind w:left="200" w:leftChars="100" w:firstLine="210" w:firstLineChars="100"/>
        <w:rPr>
          <w:rFonts w:ascii="宋体" w:hAnsi="宋体"/>
          <w:sz w:val="21"/>
          <w:szCs w:val="21"/>
        </w:rPr>
      </w:pPr>
      <w:r>
        <w:rPr>
          <w:rFonts w:ascii="宋体" w:hAnsi="宋体"/>
          <w:sz w:val="21"/>
          <w:szCs w:val="21"/>
        </w:rPr>
        <w:t>7.3.4</w:t>
      </w:r>
      <w:r>
        <w:rPr>
          <w:rFonts w:hint="eastAsia" w:ascii="宋体" w:hAnsi="宋体"/>
          <w:sz w:val="21"/>
          <w:szCs w:val="21"/>
        </w:rPr>
        <w:t>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436D6BE9">
      <w:pPr>
        <w:spacing w:line="360" w:lineRule="exact"/>
        <w:outlineLvl w:val="1"/>
        <w:rPr>
          <w:rFonts w:ascii="宋体" w:hAnsi="宋体"/>
          <w:b/>
          <w:sz w:val="21"/>
          <w:szCs w:val="21"/>
        </w:rPr>
      </w:pPr>
      <w:bookmarkStart w:id="90" w:name="第04章合同条款及格式0209"/>
      <w:bookmarkEnd w:id="90"/>
      <w:bookmarkStart w:id="91" w:name="_Toc943968"/>
      <w:bookmarkStart w:id="92" w:name="_Toc525977324"/>
      <w:bookmarkStart w:id="93" w:name="_Toc2929"/>
      <w:bookmarkStart w:id="94" w:name="_Toc340483311"/>
      <w:bookmarkStart w:id="95" w:name="_Toc19346"/>
      <w:bookmarkStart w:id="96" w:name="_Toc522970361"/>
      <w:bookmarkStart w:id="97" w:name="_Toc27220"/>
      <w:r>
        <w:rPr>
          <w:rFonts w:hint="eastAsia" w:ascii="宋体" w:hAnsi="宋体"/>
          <w:b/>
          <w:sz w:val="21"/>
          <w:szCs w:val="21"/>
        </w:rPr>
        <w:t>9　施工安全、治安保卫和环境保护</w:t>
      </w:r>
      <w:bookmarkEnd w:id="91"/>
      <w:bookmarkEnd w:id="92"/>
      <w:bookmarkEnd w:id="93"/>
      <w:bookmarkEnd w:id="94"/>
      <w:bookmarkEnd w:id="95"/>
      <w:bookmarkEnd w:id="96"/>
      <w:bookmarkEnd w:id="97"/>
    </w:p>
    <w:p w14:paraId="7C95D9F5">
      <w:pPr>
        <w:spacing w:line="360" w:lineRule="exact"/>
        <w:rPr>
          <w:rFonts w:ascii="宋体" w:hAnsi="宋体"/>
          <w:sz w:val="21"/>
          <w:szCs w:val="21"/>
        </w:rPr>
      </w:pPr>
      <w:r>
        <w:rPr>
          <w:rFonts w:hint="eastAsia" w:ascii="宋体" w:hAnsi="宋体"/>
          <w:sz w:val="21"/>
          <w:szCs w:val="21"/>
        </w:rPr>
        <w:t>　</w:t>
      </w:r>
      <w:r>
        <w:rPr>
          <w:rFonts w:ascii="宋体" w:hAnsi="宋体"/>
          <w:sz w:val="21"/>
          <w:szCs w:val="21"/>
        </w:rPr>
        <w:t>9.2</w:t>
      </w:r>
      <w:r>
        <w:rPr>
          <w:rFonts w:hint="eastAsia" w:ascii="宋体" w:hAnsi="宋体"/>
          <w:sz w:val="21"/>
          <w:szCs w:val="21"/>
        </w:rPr>
        <w:t>　承包人的施工安全责任</w:t>
      </w:r>
    </w:p>
    <w:p w14:paraId="1FA8CD50">
      <w:pPr>
        <w:spacing w:line="360" w:lineRule="exact"/>
        <w:ind w:firstLine="420"/>
        <w:rPr>
          <w:rFonts w:ascii="宋体" w:hAnsi="宋体"/>
          <w:sz w:val="21"/>
          <w:szCs w:val="21"/>
        </w:rPr>
      </w:pPr>
      <w:r>
        <w:rPr>
          <w:rFonts w:ascii="宋体" w:hAnsi="宋体"/>
          <w:sz w:val="21"/>
          <w:szCs w:val="21"/>
        </w:rPr>
        <w:t>9.2.12</w:t>
      </w:r>
      <w:r>
        <w:rPr>
          <w:rFonts w:hint="eastAsia" w:ascii="宋体" w:hAnsi="宋体"/>
          <w:sz w:val="21"/>
          <w:szCs w:val="21"/>
        </w:rPr>
        <w:t>　下列工程应编制专项施工方案：</w:t>
      </w:r>
      <w:r>
        <w:rPr>
          <w:rFonts w:hint="eastAsia" w:ascii="宋体" w:hAnsi="宋体"/>
          <w:sz w:val="21"/>
          <w:szCs w:val="21"/>
          <w:u w:val="single"/>
        </w:rPr>
        <w:t xml:space="preserve">  扬尘控制　</w:t>
      </w:r>
      <w:r>
        <w:rPr>
          <w:rFonts w:hint="eastAsia" w:ascii="宋体" w:hAnsi="宋体"/>
          <w:sz w:val="21"/>
          <w:szCs w:val="21"/>
        </w:rPr>
        <w:t>。</w:t>
      </w:r>
    </w:p>
    <w:p w14:paraId="042237F0">
      <w:pPr>
        <w:spacing w:line="360" w:lineRule="exact"/>
        <w:ind w:firstLine="407" w:firstLineChars="194"/>
        <w:rPr>
          <w:rFonts w:ascii="宋体" w:hAnsi="宋体"/>
          <w:sz w:val="21"/>
          <w:szCs w:val="21"/>
        </w:rPr>
      </w:pPr>
      <w:r>
        <w:rPr>
          <w:rFonts w:hint="eastAsia" w:ascii="宋体" w:hAnsi="宋体"/>
          <w:sz w:val="21"/>
          <w:szCs w:val="21"/>
        </w:rPr>
        <w:t>因扬尘问题被通报罚款的，由施工单位自行承担。</w:t>
      </w:r>
    </w:p>
    <w:p w14:paraId="3B3D94AD">
      <w:pPr>
        <w:spacing w:line="360" w:lineRule="exact"/>
        <w:ind w:firstLine="420" w:firstLineChars="200"/>
        <w:outlineLvl w:val="1"/>
        <w:rPr>
          <w:rFonts w:hint="eastAsia" w:ascii="宋体" w:hAnsi="宋体"/>
          <w:b w:val="0"/>
          <w:bCs/>
          <w:sz w:val="21"/>
          <w:szCs w:val="21"/>
        </w:rPr>
      </w:pPr>
      <w:bookmarkStart w:id="98" w:name="_Toc10320"/>
      <w:bookmarkStart w:id="99" w:name="_Toc943969"/>
      <w:bookmarkStart w:id="100" w:name="_Toc522970362"/>
      <w:bookmarkStart w:id="101" w:name="_Toc525977325"/>
      <w:bookmarkStart w:id="102" w:name="_Toc6671"/>
      <w:bookmarkStart w:id="103" w:name="_Toc16843"/>
      <w:r>
        <w:rPr>
          <w:rFonts w:hint="eastAsia" w:ascii="宋体" w:hAnsi="宋体"/>
          <w:b w:val="0"/>
          <w:bCs/>
          <w:sz w:val="21"/>
          <w:szCs w:val="21"/>
        </w:rPr>
        <w:t>施工单位文明施工按规范《执行常州市水利工程施工扬尘管控实施细则（常水建【2018】13号文）》、《坛大气办【2018】4号》、《坛建发【2018】72号》（依照房屋建筑工程施工现场管理）等文要求执行。</w:t>
      </w:r>
    </w:p>
    <w:p w14:paraId="336627B3">
      <w:pPr>
        <w:spacing w:line="360" w:lineRule="exact"/>
        <w:outlineLvl w:val="1"/>
        <w:rPr>
          <w:rFonts w:ascii="宋体" w:hAnsi="宋体"/>
          <w:b/>
          <w:sz w:val="21"/>
          <w:szCs w:val="21"/>
        </w:rPr>
      </w:pPr>
      <w:r>
        <w:rPr>
          <w:rFonts w:hint="eastAsia" w:ascii="宋体" w:hAnsi="宋体"/>
          <w:b/>
          <w:sz w:val="21"/>
          <w:szCs w:val="21"/>
        </w:rPr>
        <w:t>10 进度计划</w:t>
      </w:r>
      <w:bookmarkEnd w:id="98"/>
      <w:bookmarkEnd w:id="99"/>
      <w:bookmarkEnd w:id="100"/>
      <w:bookmarkEnd w:id="101"/>
      <w:bookmarkEnd w:id="102"/>
      <w:bookmarkEnd w:id="103"/>
    </w:p>
    <w:p w14:paraId="1156050C">
      <w:pPr>
        <w:spacing w:line="360" w:lineRule="exact"/>
        <w:rPr>
          <w:rFonts w:ascii="宋体" w:hAnsi="宋体"/>
          <w:sz w:val="21"/>
          <w:szCs w:val="21"/>
        </w:rPr>
      </w:pPr>
      <w:r>
        <w:rPr>
          <w:rFonts w:hint="eastAsia" w:ascii="宋体" w:hAnsi="宋体"/>
          <w:sz w:val="21"/>
          <w:szCs w:val="21"/>
        </w:rPr>
        <w:t>10.1 合同进度计划</w:t>
      </w:r>
    </w:p>
    <w:p w14:paraId="11AB3205">
      <w:pPr>
        <w:spacing w:line="360" w:lineRule="exact"/>
        <w:rPr>
          <w:rFonts w:ascii="宋体" w:hAnsi="宋体"/>
          <w:sz w:val="21"/>
          <w:szCs w:val="21"/>
        </w:rPr>
      </w:pPr>
      <w:r>
        <w:rPr>
          <w:rFonts w:hint="eastAsia" w:ascii="宋体" w:hAnsi="宋体"/>
          <w:sz w:val="21"/>
          <w:szCs w:val="21"/>
        </w:rPr>
        <w:t>10.1.1 承包人在开工后7天内报送详细的施工进度计划、施工方案说明，监理人应在7天内予以批复或提出修改意见以确定合同进度计划，应配合上级主部门做好计划进度报表的编报。</w:t>
      </w:r>
    </w:p>
    <w:p w14:paraId="31322F6A">
      <w:pPr>
        <w:spacing w:line="360" w:lineRule="exact"/>
        <w:outlineLvl w:val="1"/>
        <w:rPr>
          <w:rFonts w:ascii="宋体" w:hAnsi="宋体"/>
          <w:b/>
          <w:sz w:val="21"/>
          <w:szCs w:val="21"/>
        </w:rPr>
      </w:pPr>
      <w:bookmarkStart w:id="104" w:name="第04章合同条款及格式0211"/>
      <w:bookmarkEnd w:id="104"/>
      <w:bookmarkStart w:id="105" w:name="_Toc525977326"/>
      <w:bookmarkStart w:id="106" w:name="_Toc22843"/>
      <w:bookmarkStart w:id="107" w:name="_Toc28212"/>
      <w:bookmarkStart w:id="108" w:name="_Toc943970"/>
      <w:bookmarkStart w:id="109" w:name="_Toc522970363"/>
      <w:bookmarkStart w:id="110" w:name="_Toc7777"/>
      <w:bookmarkStart w:id="111" w:name="_Toc340483312"/>
      <w:r>
        <w:rPr>
          <w:rFonts w:hint="eastAsia" w:ascii="宋体" w:hAnsi="宋体"/>
          <w:b/>
          <w:sz w:val="21"/>
          <w:szCs w:val="21"/>
        </w:rPr>
        <w:t>11　开工和竣工(完工)</w:t>
      </w:r>
      <w:bookmarkEnd w:id="105"/>
      <w:bookmarkEnd w:id="106"/>
      <w:bookmarkEnd w:id="107"/>
      <w:bookmarkEnd w:id="108"/>
      <w:bookmarkEnd w:id="109"/>
      <w:bookmarkEnd w:id="110"/>
      <w:bookmarkEnd w:id="111"/>
    </w:p>
    <w:p w14:paraId="6F566273">
      <w:pPr>
        <w:spacing w:line="360" w:lineRule="exact"/>
        <w:outlineLvl w:val="1"/>
        <w:rPr>
          <w:rFonts w:ascii="宋体" w:hAnsi="宋体"/>
          <w:sz w:val="21"/>
          <w:szCs w:val="21"/>
          <w:highlight w:val="yellow"/>
        </w:rPr>
      </w:pPr>
      <w:r>
        <w:rPr>
          <w:rFonts w:hint="eastAsia" w:ascii="宋体" w:hAnsi="宋体"/>
          <w:b/>
          <w:sz w:val="21"/>
          <w:szCs w:val="21"/>
        </w:rPr>
        <w:t xml:space="preserve"> </w:t>
      </w:r>
      <w:r>
        <w:rPr>
          <w:rFonts w:hint="eastAsia" w:ascii="宋体" w:hAnsi="宋体"/>
          <w:sz w:val="21"/>
          <w:szCs w:val="21"/>
        </w:rPr>
        <w:t xml:space="preserve"> </w:t>
      </w:r>
      <w:bookmarkStart w:id="112" w:name="_Toc13260"/>
      <w:bookmarkStart w:id="113" w:name="_Toc522970364"/>
      <w:bookmarkStart w:id="114" w:name="_Toc529882191"/>
      <w:bookmarkStart w:id="115" w:name="_Toc24039"/>
      <w:bookmarkStart w:id="116" w:name="_Toc943971"/>
      <w:bookmarkStart w:id="117" w:name="_Toc529977810"/>
      <w:bookmarkStart w:id="118" w:name="_Toc529630672"/>
      <w:bookmarkStart w:id="119" w:name="_Toc531013056"/>
      <w:bookmarkStart w:id="120" w:name="_Toc530729903"/>
      <w:bookmarkStart w:id="121" w:name="_Toc434248740"/>
      <w:bookmarkStart w:id="122" w:name="_Toc529630833"/>
      <w:bookmarkStart w:id="123" w:name="_Toc3891"/>
      <w:bookmarkStart w:id="124" w:name="_Toc23803"/>
      <w:bookmarkStart w:id="125" w:name="_Toc525977327"/>
      <w:bookmarkStart w:id="126" w:name="_Toc19593"/>
      <w:r>
        <w:rPr>
          <w:rFonts w:hint="eastAsia" w:ascii="宋体" w:hAnsi="宋体"/>
          <w:sz w:val="21"/>
          <w:szCs w:val="21"/>
        </w:rPr>
        <w:t xml:space="preserve">11.1 </w:t>
      </w:r>
      <w:r>
        <w:rPr>
          <w:rFonts w:hint="eastAsia" w:ascii="宋体" w:hAnsi="宋体"/>
          <w:color w:val="auto"/>
          <w:sz w:val="21"/>
          <w:szCs w:val="21"/>
          <w:highlight w:val="none"/>
        </w:rPr>
        <w:t xml:space="preserve"> 本工程</w:t>
      </w:r>
      <w:r>
        <w:rPr>
          <w:rFonts w:hint="eastAsia" w:ascii="宋体" w:hAnsi="宋体"/>
          <w:color w:val="auto"/>
          <w:sz w:val="21"/>
          <w:szCs w:val="21"/>
          <w:highlight w:val="none"/>
          <w:lang w:val="en-US" w:eastAsia="zh-CN"/>
        </w:rPr>
        <w:t>60</w:t>
      </w:r>
      <w:r>
        <w:rPr>
          <w:rFonts w:hint="eastAsia" w:ascii="宋体" w:hAnsi="宋体"/>
          <w:color w:val="auto"/>
          <w:sz w:val="21"/>
          <w:szCs w:val="21"/>
          <w:highlight w:val="none"/>
        </w:rPr>
        <w:t>日历天。</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77E7E486">
      <w:pPr>
        <w:spacing w:line="360" w:lineRule="exact"/>
        <w:outlineLvl w:val="1"/>
        <w:rPr>
          <w:rFonts w:ascii="宋体" w:hAnsi="宋体"/>
          <w:bCs/>
          <w:sz w:val="21"/>
          <w:szCs w:val="21"/>
        </w:rPr>
      </w:pPr>
      <w:r>
        <w:rPr>
          <w:rFonts w:hint="eastAsia" w:ascii="宋体" w:hAnsi="宋体"/>
          <w:bCs/>
          <w:sz w:val="21"/>
          <w:szCs w:val="21"/>
        </w:rPr>
        <w:t>　</w:t>
      </w:r>
      <w:bookmarkStart w:id="127" w:name="_Toc531013057"/>
      <w:bookmarkStart w:id="128" w:name="_Toc529630673"/>
      <w:bookmarkStart w:id="129" w:name="_Toc525977328"/>
      <w:bookmarkStart w:id="130" w:name="_Toc529977811"/>
      <w:bookmarkStart w:id="131" w:name="_Toc529882192"/>
      <w:bookmarkStart w:id="132" w:name="_Toc522970365"/>
      <w:bookmarkStart w:id="133" w:name="_Toc16284"/>
      <w:bookmarkStart w:id="134" w:name="_Toc9508"/>
      <w:bookmarkStart w:id="135" w:name="_Toc530729904"/>
      <w:bookmarkStart w:id="136" w:name="_Toc15778"/>
      <w:bookmarkStart w:id="137" w:name="_Toc11688"/>
      <w:bookmarkStart w:id="138" w:name="_Toc943972"/>
      <w:bookmarkStart w:id="139" w:name="_Toc529630834"/>
      <w:bookmarkStart w:id="140" w:name="_Toc23195"/>
      <w:r>
        <w:rPr>
          <w:rFonts w:hint="eastAsia" w:ascii="宋体" w:hAnsi="宋体"/>
          <w:bCs/>
          <w:sz w:val="21"/>
          <w:szCs w:val="21"/>
        </w:rPr>
        <w:t>11.4　异常恶劣的气候条件</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1A21A087">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11.4.3</w:t>
      </w:r>
      <w:r>
        <w:rPr>
          <w:rFonts w:hint="eastAsia" w:ascii="宋体" w:hAnsi="宋体"/>
          <w:sz w:val="21"/>
          <w:szCs w:val="21"/>
        </w:rPr>
        <w:t>　本合同工程界定异常恶劣气候条件的范围为：</w:t>
      </w:r>
    </w:p>
    <w:p w14:paraId="4136256E">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日降雨量大于</w:t>
      </w:r>
      <w:r>
        <w:rPr>
          <w:rFonts w:ascii="宋体" w:hAnsi="宋体"/>
          <w:sz w:val="21"/>
          <w:szCs w:val="21"/>
        </w:rPr>
        <w:t>30 mm</w:t>
      </w:r>
      <w:r>
        <w:rPr>
          <w:rFonts w:hint="eastAsia" w:ascii="宋体" w:hAnsi="宋体"/>
          <w:sz w:val="21"/>
          <w:szCs w:val="21"/>
        </w:rPr>
        <w:t>的雨日超过</w:t>
      </w:r>
      <w:r>
        <w:rPr>
          <w:rFonts w:ascii="宋体" w:hAnsi="宋体"/>
          <w:sz w:val="21"/>
          <w:szCs w:val="21"/>
        </w:rPr>
        <w:t>3</w:t>
      </w:r>
      <w:r>
        <w:rPr>
          <w:rFonts w:hint="eastAsia" w:ascii="宋体" w:hAnsi="宋体"/>
          <w:sz w:val="21"/>
          <w:szCs w:val="21"/>
        </w:rPr>
        <w:t>天；</w:t>
      </w:r>
    </w:p>
    <w:p w14:paraId="7501A3BC">
      <w:pPr>
        <w:spacing w:line="360" w:lineRule="exact"/>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风速大于</w:t>
      </w:r>
      <w:r>
        <w:rPr>
          <w:rFonts w:ascii="宋体" w:hAnsi="宋体"/>
          <w:sz w:val="21"/>
          <w:szCs w:val="21"/>
        </w:rPr>
        <w:t>m/s</w:t>
      </w:r>
      <w:r>
        <w:rPr>
          <w:rFonts w:hint="eastAsia" w:ascii="宋体" w:hAnsi="宋体"/>
          <w:sz w:val="21"/>
          <w:szCs w:val="21"/>
        </w:rPr>
        <w:t>的</w:t>
      </w:r>
      <w:r>
        <w:rPr>
          <w:rFonts w:ascii="宋体" w:hAnsi="宋体"/>
          <w:sz w:val="21"/>
          <w:szCs w:val="21"/>
        </w:rPr>
        <w:t>9</w:t>
      </w:r>
      <w:r>
        <w:rPr>
          <w:rFonts w:hint="eastAsia" w:ascii="宋体" w:hAnsi="宋体"/>
          <w:sz w:val="21"/>
          <w:szCs w:val="21"/>
        </w:rPr>
        <w:t>级以上台风灾害；</w:t>
      </w:r>
    </w:p>
    <w:p w14:paraId="33EA2C45">
      <w:pPr>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(3) </w:t>
      </w:r>
      <w:r>
        <w:rPr>
          <w:rFonts w:hint="eastAsia" w:ascii="宋体" w:hAnsi="宋体"/>
          <w:sz w:val="21"/>
          <w:szCs w:val="21"/>
        </w:rPr>
        <w:t>日气温低于</w:t>
      </w:r>
      <w:r>
        <w:rPr>
          <w:rFonts w:ascii="宋体" w:hAnsi="宋体"/>
          <w:sz w:val="21"/>
          <w:szCs w:val="21"/>
        </w:rPr>
        <w:t>-10</w:t>
      </w:r>
      <w:r>
        <w:rPr>
          <w:rFonts w:hint="eastAsia" w:ascii="宋体" w:hAnsi="宋体"/>
          <w:sz w:val="21"/>
          <w:szCs w:val="21"/>
        </w:rPr>
        <w:t>℃的严寒大于</w:t>
      </w:r>
      <w:r>
        <w:rPr>
          <w:rFonts w:ascii="宋体" w:hAnsi="宋体"/>
          <w:sz w:val="21"/>
          <w:szCs w:val="21"/>
        </w:rPr>
        <w:t>5</w:t>
      </w:r>
      <w:r>
        <w:rPr>
          <w:rFonts w:hint="eastAsia" w:ascii="宋体" w:hAnsi="宋体"/>
          <w:sz w:val="21"/>
          <w:szCs w:val="21"/>
        </w:rPr>
        <w:t>天；</w:t>
      </w:r>
    </w:p>
    <w:p w14:paraId="681041FA">
      <w:pPr>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(4) </w:t>
      </w:r>
      <w:r>
        <w:rPr>
          <w:rFonts w:hint="eastAsia" w:ascii="宋体" w:hAnsi="宋体"/>
          <w:sz w:val="21"/>
          <w:szCs w:val="21"/>
        </w:rPr>
        <w:t>造成工程损坏的冰雹和大雪灾害；</w:t>
      </w:r>
    </w:p>
    <w:p w14:paraId="2394FA4E">
      <w:pPr>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(5) </w:t>
      </w:r>
      <w:r>
        <w:rPr>
          <w:rFonts w:hint="eastAsia" w:ascii="宋体" w:hAnsi="宋体"/>
          <w:sz w:val="21"/>
          <w:szCs w:val="21"/>
        </w:rPr>
        <w:t>其它异常恶劣气候灾害。</w:t>
      </w:r>
    </w:p>
    <w:p w14:paraId="0EEFB1A0">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11.5</w:t>
      </w:r>
      <w:r>
        <w:rPr>
          <w:rFonts w:hint="eastAsia" w:ascii="宋体" w:hAnsi="宋体"/>
          <w:sz w:val="21"/>
          <w:szCs w:val="21"/>
        </w:rPr>
        <w:t>　承包人工期延误</w:t>
      </w:r>
    </w:p>
    <w:p w14:paraId="1A68693F">
      <w:pPr>
        <w:spacing w:line="360" w:lineRule="exact"/>
        <w:ind w:firstLine="420"/>
        <w:rPr>
          <w:rFonts w:ascii="宋体" w:hAnsi="宋体"/>
          <w:sz w:val="21"/>
          <w:szCs w:val="21"/>
        </w:rPr>
      </w:pPr>
      <w:r>
        <w:rPr>
          <w:rFonts w:ascii="宋体" w:hAnsi="宋体"/>
          <w:sz w:val="21"/>
          <w:szCs w:val="21"/>
        </w:rPr>
        <w:t xml:space="preserve"> (1)</w:t>
      </w:r>
      <w:r>
        <w:rPr>
          <w:rFonts w:hint="eastAsia" w:ascii="宋体" w:hAnsi="宋体"/>
          <w:sz w:val="21"/>
          <w:szCs w:val="21"/>
        </w:rPr>
        <w:t>逾期违约金2</w:t>
      </w:r>
      <w:r>
        <w:rPr>
          <w:rFonts w:ascii="宋体" w:hAnsi="宋体"/>
          <w:sz w:val="21"/>
          <w:szCs w:val="21"/>
        </w:rPr>
        <w:t>000</w:t>
      </w:r>
      <w:r>
        <w:rPr>
          <w:rFonts w:hint="eastAsia" w:ascii="宋体" w:hAnsi="宋体"/>
          <w:sz w:val="21"/>
          <w:szCs w:val="21"/>
        </w:rPr>
        <w:t>元</w:t>
      </w:r>
      <w:r>
        <w:rPr>
          <w:rFonts w:ascii="宋体" w:hAnsi="宋体"/>
          <w:sz w:val="21"/>
          <w:szCs w:val="21"/>
        </w:rPr>
        <w:t>/</w:t>
      </w:r>
      <w:r>
        <w:rPr>
          <w:rFonts w:hint="eastAsia" w:ascii="宋体" w:hAnsi="宋体"/>
          <w:sz w:val="21"/>
          <w:szCs w:val="21"/>
        </w:rPr>
        <w:t>天。</w:t>
      </w:r>
    </w:p>
    <w:p w14:paraId="75C5CB61">
      <w:pPr>
        <w:spacing w:line="360" w:lineRule="exact"/>
        <w:ind w:firstLine="420"/>
        <w:rPr>
          <w:rFonts w:ascii="宋体" w:hAnsi="宋体"/>
          <w:sz w:val="21"/>
          <w:szCs w:val="21"/>
        </w:rPr>
      </w:pPr>
      <w:r>
        <w:rPr>
          <w:rFonts w:ascii="宋体" w:hAnsi="宋体"/>
          <w:sz w:val="21"/>
          <w:szCs w:val="21"/>
        </w:rPr>
        <w:t xml:space="preserve"> (2)</w:t>
      </w:r>
      <w:r>
        <w:rPr>
          <w:rFonts w:hint="eastAsia" w:ascii="宋体" w:hAnsi="宋体"/>
          <w:sz w:val="21"/>
          <w:szCs w:val="21"/>
        </w:rPr>
        <w:t>全部逾期完工违约金的总限额不超过签约合同价的</w:t>
      </w:r>
      <w:r>
        <w:rPr>
          <w:rFonts w:ascii="宋体" w:hAnsi="宋体"/>
          <w:sz w:val="21"/>
          <w:szCs w:val="21"/>
          <w:u w:val="single"/>
        </w:rPr>
        <w:t>5</w:t>
      </w:r>
      <w:r>
        <w:rPr>
          <w:rFonts w:ascii="宋体" w:hAnsi="宋体"/>
          <w:sz w:val="21"/>
          <w:szCs w:val="21"/>
        </w:rPr>
        <w:t xml:space="preserve">% </w:t>
      </w:r>
      <w:r>
        <w:rPr>
          <w:rFonts w:hint="eastAsia" w:ascii="宋体" w:hAnsi="宋体"/>
          <w:sz w:val="21"/>
          <w:szCs w:val="21"/>
        </w:rPr>
        <w:t>。</w:t>
      </w:r>
    </w:p>
    <w:p w14:paraId="5ACA2685">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11.6</w:t>
      </w:r>
      <w:r>
        <w:rPr>
          <w:rFonts w:hint="eastAsia" w:ascii="宋体" w:hAnsi="宋体"/>
          <w:sz w:val="21"/>
          <w:szCs w:val="21"/>
        </w:rPr>
        <w:t xml:space="preserve">　工期提前  </w:t>
      </w:r>
    </w:p>
    <w:p w14:paraId="07A0850A">
      <w:pPr>
        <w:spacing w:line="360" w:lineRule="exact"/>
        <w:rPr>
          <w:rFonts w:ascii="宋体" w:hAnsi="宋体" w:cs="宋体"/>
          <w:sz w:val="21"/>
          <w:szCs w:val="21"/>
        </w:rPr>
      </w:pPr>
      <w:bookmarkStart w:id="141" w:name="_Toc340483313"/>
      <w:r>
        <w:rPr>
          <w:rFonts w:hint="eastAsia" w:ascii="宋体" w:hAnsi="宋体" w:cs="宋体"/>
          <w:sz w:val="21"/>
          <w:szCs w:val="21"/>
        </w:rPr>
        <w:t>承包人在投标时应充分考虑节假日加班的因素，并计入报价内。</w:t>
      </w:r>
    </w:p>
    <w:p w14:paraId="0652E246">
      <w:pPr>
        <w:spacing w:line="360" w:lineRule="exact"/>
        <w:outlineLvl w:val="1"/>
        <w:rPr>
          <w:rFonts w:ascii="宋体" w:hAnsi="宋体"/>
          <w:b/>
          <w:sz w:val="21"/>
          <w:szCs w:val="21"/>
        </w:rPr>
      </w:pPr>
      <w:bookmarkStart w:id="142" w:name="_Toc6463"/>
      <w:bookmarkStart w:id="143" w:name="_Toc943973"/>
      <w:bookmarkStart w:id="144" w:name="_Toc410675363"/>
      <w:r>
        <w:rPr>
          <w:rFonts w:hint="eastAsia" w:ascii="宋体" w:hAnsi="宋体"/>
          <w:b/>
          <w:sz w:val="21"/>
          <w:szCs w:val="21"/>
        </w:rPr>
        <w:t>12　暂停施工</w:t>
      </w:r>
      <w:bookmarkEnd w:id="142"/>
      <w:bookmarkEnd w:id="143"/>
      <w:bookmarkEnd w:id="144"/>
    </w:p>
    <w:p w14:paraId="4D987FE2">
      <w:pPr>
        <w:pStyle w:val="38"/>
        <w:spacing w:line="360" w:lineRule="exact"/>
        <w:ind w:firstLine="1784"/>
        <w:rPr>
          <w:rFonts w:ascii="宋体" w:eastAsia="宋体"/>
          <w:sz w:val="21"/>
          <w:szCs w:val="21"/>
        </w:rPr>
      </w:pPr>
      <w:r>
        <w:rPr>
          <w:rFonts w:hint="eastAsia" w:ascii="宋体" w:eastAsia="宋体"/>
          <w:sz w:val="21"/>
          <w:szCs w:val="21"/>
        </w:rPr>
        <w:t>　　</w:t>
      </w:r>
      <w:bookmarkStart w:id="145" w:name="_Toc26182"/>
      <w:r>
        <w:rPr>
          <w:rFonts w:hint="eastAsia" w:ascii="宋体" w:eastAsia="宋体"/>
          <w:sz w:val="21"/>
          <w:szCs w:val="21"/>
        </w:rPr>
        <w:t>12.1 承包人暂停施工的责任</w:t>
      </w:r>
      <w:bookmarkEnd w:id="145"/>
    </w:p>
    <w:p w14:paraId="104C3407">
      <w:pPr>
        <w:spacing w:line="360" w:lineRule="exact"/>
        <w:ind w:firstLine="420" w:firstLineChars="200"/>
        <w:rPr>
          <w:rFonts w:ascii="宋体" w:hAnsi="宋体"/>
          <w:sz w:val="21"/>
          <w:szCs w:val="21"/>
        </w:rPr>
      </w:pPr>
      <w:r>
        <w:rPr>
          <w:rFonts w:hint="eastAsia" w:ascii="宋体" w:hAnsi="宋体"/>
          <w:sz w:val="21"/>
          <w:szCs w:val="21"/>
        </w:rPr>
        <w:t>因下列暂停施工增加的费用和（或）工期延误由承包人承担：</w:t>
      </w:r>
    </w:p>
    <w:p w14:paraId="2104DF35">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1</w:t>
      </w:r>
      <w:r>
        <w:rPr>
          <w:rFonts w:hint="eastAsia" w:ascii="宋体" w:hAnsi="宋体"/>
          <w:sz w:val="21"/>
          <w:szCs w:val="21"/>
        </w:rPr>
        <w:t>）承包人违约引起的暂停施工；</w:t>
      </w:r>
    </w:p>
    <w:p w14:paraId="15E7E59F">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）由于承包人原因为工程合理施工和安全保障所必需的暂停施工；</w:t>
      </w:r>
    </w:p>
    <w:p w14:paraId="274A7E11">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）承包人擅自暂停施工；</w:t>
      </w:r>
    </w:p>
    <w:p w14:paraId="500DC737">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4</w:t>
      </w:r>
      <w:r>
        <w:rPr>
          <w:rFonts w:hint="eastAsia" w:ascii="宋体" w:hAnsi="宋体"/>
          <w:sz w:val="21"/>
          <w:szCs w:val="21"/>
        </w:rPr>
        <w:t>）承包人其他原因引起的暂停施工；</w:t>
      </w:r>
    </w:p>
    <w:p w14:paraId="66B2E815">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5</w:t>
      </w:r>
      <w:r>
        <w:rPr>
          <w:rFonts w:hint="eastAsia" w:ascii="宋体" w:hAnsi="宋体"/>
          <w:sz w:val="21"/>
          <w:szCs w:val="21"/>
        </w:rPr>
        <w:t>）专用合同条款约定由承包人承担的其他暂停施工。</w:t>
      </w:r>
    </w:p>
    <w:p w14:paraId="4897CD05">
      <w:pPr>
        <w:spacing w:line="360" w:lineRule="exact"/>
        <w:ind w:firstLine="420" w:firstLineChars="200"/>
        <w:rPr>
          <w:rFonts w:ascii="宋体" w:hAnsi="宋体"/>
          <w:sz w:val="21"/>
          <w:szCs w:val="21"/>
        </w:rPr>
      </w:pPr>
      <w:r>
        <w:rPr>
          <w:rFonts w:ascii="宋体" w:hAnsi="宋体"/>
          <w:sz w:val="21"/>
          <w:szCs w:val="21"/>
        </w:rPr>
        <w:t>12.2</w:t>
      </w:r>
      <w:r>
        <w:rPr>
          <w:rFonts w:hint="eastAsia" w:ascii="宋体" w:hAnsi="宋体"/>
          <w:sz w:val="21"/>
          <w:szCs w:val="21"/>
        </w:rPr>
        <w:t>　发包人暂停施工的责任</w:t>
      </w:r>
    </w:p>
    <w:p w14:paraId="1041F14A">
      <w:pPr>
        <w:spacing w:line="360" w:lineRule="exact"/>
        <w:rPr>
          <w:rFonts w:ascii="宋体" w:hAnsi="宋体"/>
          <w:sz w:val="21"/>
          <w:szCs w:val="21"/>
        </w:rPr>
      </w:pPr>
      <w:r>
        <w:rPr>
          <w:rFonts w:hint="eastAsia" w:ascii="宋体" w:hAnsi="宋体"/>
          <w:sz w:val="21"/>
          <w:szCs w:val="21"/>
        </w:rPr>
        <w:t>　　由于发包人原因引起的暂停施工造成工期延误的，承包人有权要求发包人延长工期和</w:t>
      </w:r>
      <w:r>
        <w:rPr>
          <w:rFonts w:ascii="宋体" w:hAnsi="宋体"/>
          <w:sz w:val="21"/>
          <w:szCs w:val="21"/>
        </w:rPr>
        <w:t>(</w:t>
      </w:r>
      <w:r>
        <w:rPr>
          <w:rFonts w:hint="eastAsia" w:ascii="宋体" w:hAnsi="宋体"/>
          <w:sz w:val="21"/>
          <w:szCs w:val="21"/>
        </w:rPr>
        <w:t>或</w:t>
      </w:r>
      <w:r>
        <w:rPr>
          <w:rFonts w:ascii="宋体" w:hAnsi="宋体"/>
          <w:sz w:val="21"/>
          <w:szCs w:val="21"/>
        </w:rPr>
        <w:t>)</w:t>
      </w:r>
      <w:r>
        <w:rPr>
          <w:rFonts w:hint="eastAsia" w:ascii="宋体" w:hAnsi="宋体"/>
          <w:sz w:val="21"/>
          <w:szCs w:val="21"/>
        </w:rPr>
        <w:t>增加费用，并支付合理利润。</w:t>
      </w:r>
    </w:p>
    <w:p w14:paraId="64C26A20">
      <w:pPr>
        <w:spacing w:line="360" w:lineRule="exact"/>
        <w:rPr>
          <w:rFonts w:ascii="宋体" w:hAnsi="宋体"/>
          <w:sz w:val="21"/>
          <w:szCs w:val="21"/>
        </w:rPr>
      </w:pPr>
      <w:r>
        <w:rPr>
          <w:rFonts w:hint="eastAsia" w:ascii="宋体" w:hAnsi="宋体"/>
          <w:sz w:val="21"/>
          <w:szCs w:val="21"/>
        </w:rPr>
        <w:t>　　属于下列任何一种情况引起的暂停施工，均为发包人的责任：</w:t>
      </w:r>
    </w:p>
    <w:p w14:paraId="0906FBF3">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由于发包人违约引起的暂停施工；</w:t>
      </w:r>
    </w:p>
    <w:p w14:paraId="2A17515C">
      <w:pPr>
        <w:spacing w:line="360" w:lineRule="exact"/>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由于不可抗力的自然或社会因素引起的暂停施工；</w:t>
      </w:r>
    </w:p>
    <w:p w14:paraId="4E067347">
      <w:pPr>
        <w:spacing w:line="360" w:lineRule="exact"/>
        <w:ind w:firstLine="420"/>
        <w:rPr>
          <w:rFonts w:ascii="宋体" w:hAnsi="宋体"/>
          <w:sz w:val="21"/>
          <w:szCs w:val="21"/>
        </w:rPr>
      </w:pPr>
      <w:r>
        <w:rPr>
          <w:rFonts w:ascii="宋体" w:hAnsi="宋体"/>
          <w:sz w:val="21"/>
          <w:szCs w:val="21"/>
        </w:rPr>
        <w:t>(3)</w:t>
      </w:r>
      <w:r>
        <w:rPr>
          <w:rFonts w:hint="eastAsia" w:ascii="宋体" w:hAnsi="宋体"/>
          <w:sz w:val="21"/>
          <w:szCs w:val="21"/>
        </w:rPr>
        <w:t>专用合同条款中约定的其它由于发包人原因引起的暂停施工。</w:t>
      </w:r>
    </w:p>
    <w:p w14:paraId="4CEB0E36">
      <w:pPr>
        <w:pStyle w:val="38"/>
        <w:spacing w:line="360" w:lineRule="exact"/>
        <w:ind w:firstLine="1784"/>
        <w:rPr>
          <w:rFonts w:ascii="宋体" w:eastAsia="宋体"/>
          <w:sz w:val="21"/>
          <w:szCs w:val="21"/>
        </w:rPr>
      </w:pPr>
      <w:bookmarkStart w:id="146" w:name="_Toc11983"/>
      <w:r>
        <w:rPr>
          <w:rFonts w:hint="eastAsia" w:ascii="宋体" w:eastAsia="宋体"/>
          <w:sz w:val="21"/>
          <w:szCs w:val="21"/>
        </w:rPr>
        <w:t>12.3 监理人暂停施工指示</w:t>
      </w:r>
      <w:bookmarkEnd w:id="146"/>
    </w:p>
    <w:p w14:paraId="0C563520">
      <w:pPr>
        <w:spacing w:line="360" w:lineRule="exact"/>
        <w:ind w:firstLine="420" w:firstLineChars="200"/>
        <w:rPr>
          <w:rFonts w:ascii="宋体" w:hAnsi="宋体"/>
          <w:sz w:val="21"/>
          <w:szCs w:val="21"/>
        </w:rPr>
      </w:pPr>
      <w:r>
        <w:rPr>
          <w:rFonts w:ascii="宋体" w:hAnsi="宋体"/>
          <w:sz w:val="21"/>
          <w:szCs w:val="21"/>
        </w:rPr>
        <w:t xml:space="preserve">12.3.1 </w:t>
      </w:r>
      <w:r>
        <w:rPr>
          <w:rFonts w:hint="eastAsia" w:ascii="宋体" w:hAnsi="宋体"/>
          <w:sz w:val="21"/>
          <w:szCs w:val="21"/>
        </w:rPr>
        <w:t>监理人认为有必要时，可向承包人作出暂停施工的指示，承包人应按监理人指示暂停施工。不论由于何种原因引起的暂停施工，暂停施工期间承包人应负责妥善保护工程并提供安全保障。</w:t>
      </w:r>
    </w:p>
    <w:p w14:paraId="52300467">
      <w:pPr>
        <w:spacing w:line="360" w:lineRule="exact"/>
        <w:ind w:firstLine="420" w:firstLineChars="200"/>
        <w:rPr>
          <w:rFonts w:ascii="宋体" w:hAnsi="宋体"/>
          <w:sz w:val="21"/>
          <w:szCs w:val="21"/>
        </w:rPr>
      </w:pPr>
      <w:r>
        <w:rPr>
          <w:rFonts w:ascii="宋体" w:hAnsi="宋体"/>
          <w:sz w:val="21"/>
          <w:szCs w:val="21"/>
        </w:rPr>
        <w:t xml:space="preserve">12.3.2 </w:t>
      </w:r>
      <w:r>
        <w:rPr>
          <w:rFonts w:hint="eastAsia" w:ascii="宋体" w:hAnsi="宋体"/>
          <w:sz w:val="21"/>
          <w:szCs w:val="21"/>
        </w:rPr>
        <w:t>由于发包人的原因发生暂停施工的紧急情况，且监理人未及时下达暂停施工指示的，承包人可先暂停施工，并及时向监理人提出暂停施工的书面请求。监理人应在接到书面请求后的</w:t>
      </w:r>
      <w:r>
        <w:rPr>
          <w:rFonts w:ascii="宋体" w:hAnsi="宋体"/>
          <w:sz w:val="21"/>
          <w:szCs w:val="21"/>
        </w:rPr>
        <w:t>24</w:t>
      </w:r>
      <w:r>
        <w:rPr>
          <w:rFonts w:hint="eastAsia" w:ascii="宋体" w:hAnsi="宋体"/>
          <w:sz w:val="21"/>
          <w:szCs w:val="21"/>
        </w:rPr>
        <w:t>小时内予以答复，逾期未答复的，视为同意承包人的暂停施工请求。</w:t>
      </w:r>
    </w:p>
    <w:p w14:paraId="18FD3CC4">
      <w:pPr>
        <w:pStyle w:val="38"/>
        <w:spacing w:line="360" w:lineRule="exact"/>
        <w:ind w:firstLine="1784"/>
        <w:rPr>
          <w:rFonts w:ascii="宋体" w:eastAsia="宋体"/>
          <w:sz w:val="21"/>
          <w:szCs w:val="21"/>
        </w:rPr>
      </w:pPr>
      <w:bookmarkStart w:id="147" w:name="_Toc19978"/>
      <w:r>
        <w:rPr>
          <w:rFonts w:hint="eastAsia" w:ascii="宋体" w:eastAsia="宋体"/>
          <w:sz w:val="21"/>
          <w:szCs w:val="21"/>
        </w:rPr>
        <w:t>12.4 暂停施工后的复工</w:t>
      </w:r>
      <w:bookmarkEnd w:id="147"/>
    </w:p>
    <w:p w14:paraId="0A27BF9D">
      <w:pPr>
        <w:spacing w:line="360" w:lineRule="exact"/>
        <w:ind w:firstLine="420" w:firstLineChars="200"/>
        <w:rPr>
          <w:rFonts w:ascii="宋体" w:hAnsi="宋体"/>
          <w:sz w:val="21"/>
          <w:szCs w:val="21"/>
        </w:rPr>
      </w:pPr>
      <w:r>
        <w:rPr>
          <w:rFonts w:ascii="宋体" w:hAnsi="宋体"/>
          <w:sz w:val="21"/>
          <w:szCs w:val="21"/>
        </w:rPr>
        <w:t xml:space="preserve">12.4.1 </w:t>
      </w:r>
      <w:r>
        <w:rPr>
          <w:rFonts w:hint="eastAsia" w:ascii="宋体" w:hAnsi="宋体"/>
          <w:sz w:val="21"/>
          <w:szCs w:val="21"/>
        </w:rPr>
        <w:t>暂停施工后，监理人应与发包人和承包人协商，采取有效措施积极消除暂停施工的影响。当工程具备复工条件时，监理人应立即向承包人发出复工通知。承包人收到复工通知后，应在监理人指定的期限内复工。</w:t>
      </w:r>
    </w:p>
    <w:p w14:paraId="1FBFD13E">
      <w:pPr>
        <w:spacing w:line="360" w:lineRule="exact"/>
        <w:ind w:firstLine="420" w:firstLineChars="200"/>
        <w:rPr>
          <w:rFonts w:ascii="宋体" w:hAnsi="宋体"/>
          <w:sz w:val="21"/>
          <w:szCs w:val="21"/>
        </w:rPr>
      </w:pPr>
      <w:r>
        <w:rPr>
          <w:rFonts w:ascii="宋体" w:hAnsi="宋体"/>
          <w:sz w:val="21"/>
          <w:szCs w:val="21"/>
        </w:rPr>
        <w:t xml:space="preserve">12.4.2 </w:t>
      </w:r>
      <w:r>
        <w:rPr>
          <w:rFonts w:hint="eastAsia" w:ascii="宋体" w:hAnsi="宋体"/>
          <w:sz w:val="21"/>
          <w:szCs w:val="21"/>
        </w:rPr>
        <w:t>承包人无故拖延和拒绝复工的，由此增加的费用和工期延误由承包人承担；因发包人原因无法按时复工的，承包人有权要求发包人延长工期和（或）增加费用，并支付合理利润。</w:t>
      </w:r>
    </w:p>
    <w:p w14:paraId="79496CAC">
      <w:pPr>
        <w:pStyle w:val="38"/>
        <w:spacing w:line="360" w:lineRule="exact"/>
        <w:ind w:firstLine="1784"/>
        <w:rPr>
          <w:rFonts w:ascii="宋体" w:eastAsia="宋体"/>
          <w:sz w:val="21"/>
          <w:szCs w:val="21"/>
        </w:rPr>
      </w:pPr>
      <w:bookmarkStart w:id="148" w:name="_Toc11977"/>
      <w:r>
        <w:rPr>
          <w:rFonts w:hint="eastAsia" w:ascii="宋体" w:eastAsia="宋体"/>
          <w:sz w:val="21"/>
          <w:szCs w:val="21"/>
        </w:rPr>
        <w:t>12.5 暂停施工持续56天以上</w:t>
      </w:r>
      <w:bookmarkEnd w:id="148"/>
    </w:p>
    <w:p w14:paraId="24CF702F">
      <w:pPr>
        <w:spacing w:line="360" w:lineRule="exact"/>
        <w:ind w:firstLine="411" w:firstLineChars="196"/>
        <w:rPr>
          <w:rFonts w:ascii="宋体" w:hAnsi="宋体"/>
          <w:sz w:val="21"/>
          <w:szCs w:val="21"/>
        </w:rPr>
      </w:pPr>
      <w:r>
        <w:rPr>
          <w:rFonts w:ascii="宋体" w:hAnsi="宋体"/>
          <w:sz w:val="21"/>
          <w:szCs w:val="21"/>
        </w:rPr>
        <w:t xml:space="preserve">12.5.1 </w:t>
      </w:r>
      <w:r>
        <w:rPr>
          <w:rFonts w:hint="eastAsia" w:ascii="宋体" w:hAnsi="宋体"/>
          <w:sz w:val="21"/>
          <w:szCs w:val="21"/>
        </w:rPr>
        <w:t>监理人发出暂停施工指示后</w:t>
      </w:r>
      <w:r>
        <w:rPr>
          <w:rFonts w:ascii="宋体" w:hAnsi="宋体"/>
          <w:sz w:val="21"/>
          <w:szCs w:val="21"/>
        </w:rPr>
        <w:t>56</w:t>
      </w:r>
      <w:r>
        <w:rPr>
          <w:rFonts w:hint="eastAsia" w:ascii="宋体" w:hAnsi="宋体"/>
          <w:sz w:val="21"/>
          <w:szCs w:val="21"/>
        </w:rPr>
        <w:t>天内未向承包人发出复工通知，除了该项停工属于第</w:t>
      </w:r>
      <w:r>
        <w:rPr>
          <w:rFonts w:ascii="宋体" w:hAnsi="宋体"/>
          <w:sz w:val="21"/>
          <w:szCs w:val="21"/>
        </w:rPr>
        <w:t>12.1</w:t>
      </w:r>
      <w:r>
        <w:rPr>
          <w:rFonts w:hint="eastAsia" w:ascii="宋体" w:hAnsi="宋体"/>
          <w:sz w:val="21"/>
          <w:szCs w:val="21"/>
        </w:rPr>
        <w:t>款的情况外，承包人可向监理人提交书面通知，要求监理人在收到书面通知后</w:t>
      </w:r>
      <w:r>
        <w:rPr>
          <w:rFonts w:ascii="宋体" w:hAnsi="宋体"/>
          <w:sz w:val="21"/>
          <w:szCs w:val="21"/>
        </w:rPr>
        <w:t>28</w:t>
      </w:r>
      <w:r>
        <w:rPr>
          <w:rFonts w:hint="eastAsia" w:ascii="宋体" w:hAnsi="宋体"/>
          <w:sz w:val="21"/>
          <w:szCs w:val="21"/>
        </w:rPr>
        <w:t>天内准许已暂停施工的工程或其中一部分工程继续施工。如监理人逾期不予批准，则承包人可以通知监理人，将工程受影响的部分视为按第</w:t>
      </w:r>
      <w:r>
        <w:rPr>
          <w:rFonts w:ascii="宋体" w:hAnsi="宋体"/>
          <w:sz w:val="21"/>
          <w:szCs w:val="21"/>
        </w:rPr>
        <w:t>15.1</w:t>
      </w:r>
      <w:r>
        <w:rPr>
          <w:rFonts w:hint="eastAsia" w:ascii="宋体" w:hAnsi="宋体"/>
          <w:sz w:val="21"/>
          <w:szCs w:val="21"/>
        </w:rPr>
        <w:t>（</w:t>
      </w:r>
      <w:r>
        <w:rPr>
          <w:rFonts w:ascii="宋体" w:hAnsi="宋体"/>
          <w:sz w:val="21"/>
          <w:szCs w:val="21"/>
        </w:rPr>
        <w:t>1</w:t>
      </w:r>
      <w:r>
        <w:rPr>
          <w:rFonts w:hint="eastAsia" w:ascii="宋体" w:hAnsi="宋体"/>
          <w:sz w:val="21"/>
          <w:szCs w:val="21"/>
        </w:rPr>
        <w:t>）项的可取消工作。如暂停施工影响到整个工程，可视为发包人违约，应按第</w:t>
      </w:r>
      <w:r>
        <w:rPr>
          <w:rFonts w:ascii="宋体" w:hAnsi="宋体"/>
          <w:sz w:val="21"/>
          <w:szCs w:val="21"/>
        </w:rPr>
        <w:t>22.2</w:t>
      </w:r>
      <w:r>
        <w:rPr>
          <w:rFonts w:hint="eastAsia" w:ascii="宋体" w:hAnsi="宋体"/>
          <w:sz w:val="21"/>
          <w:szCs w:val="21"/>
        </w:rPr>
        <w:t>款的规定办理。</w:t>
      </w:r>
    </w:p>
    <w:p w14:paraId="6824C254">
      <w:pPr>
        <w:spacing w:line="360" w:lineRule="exact"/>
        <w:ind w:firstLine="420"/>
        <w:rPr>
          <w:rFonts w:ascii="宋体" w:hAnsi="宋体"/>
          <w:sz w:val="21"/>
          <w:szCs w:val="21"/>
        </w:rPr>
      </w:pPr>
      <w:r>
        <w:rPr>
          <w:rFonts w:ascii="宋体" w:hAnsi="宋体"/>
          <w:sz w:val="21"/>
          <w:szCs w:val="21"/>
        </w:rPr>
        <w:t xml:space="preserve">12.5.2 </w:t>
      </w:r>
      <w:r>
        <w:rPr>
          <w:rFonts w:hint="eastAsia" w:ascii="宋体" w:hAnsi="宋体"/>
          <w:sz w:val="21"/>
          <w:szCs w:val="21"/>
        </w:rPr>
        <w:t>由于承包人责任引起的暂停施工，如承包人在收到监理人暂停施工指示后</w:t>
      </w:r>
      <w:r>
        <w:rPr>
          <w:rFonts w:ascii="宋体" w:hAnsi="宋体"/>
          <w:sz w:val="21"/>
          <w:szCs w:val="21"/>
        </w:rPr>
        <w:t>56</w:t>
      </w:r>
      <w:r>
        <w:rPr>
          <w:rFonts w:hint="eastAsia" w:ascii="宋体" w:hAnsi="宋体"/>
          <w:sz w:val="21"/>
          <w:szCs w:val="21"/>
        </w:rPr>
        <w:t>天内不认真采取有效的复工措施，造成工期延误，可视为承包人违约，应按第</w:t>
      </w:r>
      <w:r>
        <w:rPr>
          <w:rFonts w:ascii="宋体" w:hAnsi="宋体"/>
          <w:sz w:val="21"/>
          <w:szCs w:val="21"/>
        </w:rPr>
        <w:t>22.1</w:t>
      </w:r>
      <w:r>
        <w:rPr>
          <w:rFonts w:hint="eastAsia" w:ascii="宋体" w:hAnsi="宋体"/>
          <w:sz w:val="21"/>
          <w:szCs w:val="21"/>
        </w:rPr>
        <w:t>款的规定办理。</w:t>
      </w:r>
    </w:p>
    <w:p w14:paraId="705C1294">
      <w:pPr>
        <w:spacing w:line="360" w:lineRule="exact"/>
        <w:outlineLvl w:val="1"/>
        <w:rPr>
          <w:rFonts w:ascii="宋体" w:hAnsi="宋体"/>
          <w:b/>
          <w:sz w:val="21"/>
          <w:szCs w:val="21"/>
        </w:rPr>
      </w:pPr>
      <w:bookmarkStart w:id="149" w:name="_Toc525977329"/>
      <w:bookmarkStart w:id="150" w:name="_Toc943974"/>
      <w:bookmarkStart w:id="151" w:name="_Toc2212"/>
      <w:bookmarkStart w:id="152" w:name="_Toc522970366"/>
      <w:bookmarkStart w:id="153" w:name="_Toc5741"/>
      <w:bookmarkStart w:id="154" w:name="_Toc445"/>
      <w:r>
        <w:rPr>
          <w:rFonts w:hint="eastAsia" w:ascii="宋体" w:hAnsi="宋体"/>
          <w:b/>
          <w:sz w:val="21"/>
          <w:szCs w:val="21"/>
        </w:rPr>
        <w:t>13　工程质量</w:t>
      </w:r>
      <w:bookmarkEnd w:id="141"/>
      <w:bookmarkEnd w:id="149"/>
      <w:bookmarkEnd w:id="150"/>
      <w:bookmarkEnd w:id="151"/>
      <w:bookmarkEnd w:id="152"/>
      <w:bookmarkEnd w:id="153"/>
      <w:bookmarkEnd w:id="154"/>
    </w:p>
    <w:p w14:paraId="7253CB20">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13.7.7</w:t>
      </w:r>
      <w:r>
        <w:rPr>
          <w:rFonts w:hint="eastAsia" w:ascii="宋体" w:hAnsi="宋体"/>
          <w:sz w:val="21"/>
          <w:szCs w:val="21"/>
        </w:rPr>
        <w:t>　本工程质量等级目标：合格。</w:t>
      </w:r>
    </w:p>
    <w:p w14:paraId="1AB779BE">
      <w:pPr>
        <w:spacing w:line="360" w:lineRule="exact"/>
        <w:outlineLvl w:val="1"/>
        <w:rPr>
          <w:rFonts w:ascii="宋体" w:hAnsi="宋体"/>
          <w:b/>
          <w:sz w:val="21"/>
          <w:szCs w:val="21"/>
        </w:rPr>
      </w:pPr>
      <w:bookmarkStart w:id="155" w:name="第04章合同条款及格式0214"/>
      <w:bookmarkEnd w:id="155"/>
      <w:bookmarkStart w:id="156" w:name="第04章合同条款及格式0215"/>
      <w:bookmarkEnd w:id="156"/>
      <w:bookmarkStart w:id="157" w:name="_Toc144974671"/>
      <w:bookmarkStart w:id="158" w:name="_Toc340483314"/>
      <w:bookmarkStart w:id="159" w:name="_Toc522970367"/>
      <w:bookmarkStart w:id="160" w:name="_Toc179632720"/>
      <w:bookmarkStart w:id="161" w:name="_Toc525977330"/>
      <w:bookmarkStart w:id="162" w:name="_Toc943975"/>
      <w:bookmarkStart w:id="163" w:name="_Toc31064"/>
      <w:bookmarkStart w:id="164" w:name="_Toc152042480"/>
      <w:bookmarkStart w:id="165" w:name="_Toc152045702"/>
      <w:bookmarkStart w:id="166" w:name="_Toc31780"/>
      <w:bookmarkStart w:id="167" w:name="_Toc12875"/>
      <w:r>
        <w:rPr>
          <w:rFonts w:hint="eastAsia" w:ascii="宋体" w:hAnsi="宋体"/>
          <w:b/>
          <w:sz w:val="21"/>
          <w:szCs w:val="21"/>
        </w:rPr>
        <w:t>14. 试验和检验</w:t>
      </w:r>
      <w:bookmarkEnd w:id="157"/>
      <w:bookmarkEnd w:id="158"/>
      <w:bookmarkEnd w:id="159"/>
      <w:bookmarkEnd w:id="160"/>
      <w:bookmarkEnd w:id="161"/>
      <w:bookmarkEnd w:id="162"/>
      <w:bookmarkEnd w:id="163"/>
      <w:bookmarkEnd w:id="164"/>
      <w:bookmarkEnd w:id="165"/>
      <w:bookmarkEnd w:id="166"/>
      <w:bookmarkEnd w:id="167"/>
    </w:p>
    <w:p w14:paraId="7396021E">
      <w:pPr>
        <w:spacing w:line="360" w:lineRule="exact"/>
        <w:ind w:firstLine="211" w:firstLineChars="100"/>
        <w:rPr>
          <w:rFonts w:ascii="宋体" w:hAnsi="宋体"/>
          <w:b/>
          <w:sz w:val="21"/>
          <w:szCs w:val="21"/>
        </w:rPr>
      </w:pPr>
      <w:bookmarkStart w:id="168" w:name="_Toc340483315"/>
      <w:bookmarkStart w:id="169" w:name="_Toc380478258"/>
      <w:r>
        <w:rPr>
          <w:rFonts w:ascii="宋体" w:hAnsi="宋体"/>
          <w:b/>
          <w:sz w:val="21"/>
          <w:szCs w:val="21"/>
        </w:rPr>
        <w:t xml:space="preserve">14.1.4 </w:t>
      </w:r>
      <w:r>
        <w:rPr>
          <w:rFonts w:hint="eastAsia" w:ascii="宋体" w:hAnsi="宋体"/>
          <w:b/>
          <w:sz w:val="21"/>
          <w:szCs w:val="21"/>
        </w:rPr>
        <w:t>“水泥、钢材等”修改为“土方、水泥、钢材、黄砂、碎石</w:t>
      </w:r>
      <w:bookmarkEnd w:id="168"/>
      <w:bookmarkEnd w:id="169"/>
      <w:r>
        <w:rPr>
          <w:rFonts w:hint="eastAsia" w:ascii="宋体" w:hAnsi="宋体"/>
          <w:b/>
          <w:sz w:val="21"/>
          <w:szCs w:val="21"/>
        </w:rPr>
        <w:t>、机电设备及金属结构等进场前必须经检测。”</w:t>
      </w:r>
    </w:p>
    <w:p w14:paraId="2A8F189A">
      <w:pPr>
        <w:spacing w:line="360" w:lineRule="exact"/>
        <w:ind w:firstLine="211" w:firstLineChars="100"/>
        <w:rPr>
          <w:rFonts w:ascii="宋体" w:hAnsi="宋体"/>
          <w:b/>
          <w:sz w:val="21"/>
          <w:szCs w:val="21"/>
        </w:rPr>
      </w:pPr>
      <w:bookmarkStart w:id="170" w:name="_Toc380478259"/>
      <w:bookmarkStart w:id="171" w:name="_Toc340483316"/>
      <w:r>
        <w:rPr>
          <w:rFonts w:ascii="宋体" w:hAnsi="宋体"/>
          <w:b/>
          <w:sz w:val="21"/>
          <w:szCs w:val="21"/>
        </w:rPr>
        <w:t>14.1.</w:t>
      </w:r>
      <w:r>
        <w:rPr>
          <w:rFonts w:hint="eastAsia" w:ascii="宋体" w:hAnsi="宋体"/>
          <w:b/>
          <w:sz w:val="21"/>
          <w:szCs w:val="21"/>
        </w:rPr>
        <w:t>6</w:t>
      </w:r>
      <w:r>
        <w:rPr>
          <w:rFonts w:ascii="宋体" w:hAnsi="宋体"/>
          <w:b/>
          <w:sz w:val="21"/>
          <w:szCs w:val="21"/>
        </w:rPr>
        <w:t xml:space="preserve">  </w:t>
      </w:r>
      <w:r>
        <w:rPr>
          <w:rFonts w:hint="eastAsia" w:ascii="宋体" w:hAnsi="宋体"/>
          <w:b/>
          <w:sz w:val="21"/>
          <w:szCs w:val="21"/>
        </w:rPr>
        <w:t>约定试块、试件及有关材料为混凝土、砂浆和回填土</w:t>
      </w:r>
      <w:bookmarkEnd w:id="170"/>
      <w:bookmarkEnd w:id="171"/>
    </w:p>
    <w:p w14:paraId="7B9B0E16">
      <w:pPr>
        <w:spacing w:line="360" w:lineRule="exact"/>
        <w:outlineLvl w:val="1"/>
        <w:rPr>
          <w:rFonts w:ascii="宋体" w:hAnsi="宋体"/>
          <w:b/>
          <w:sz w:val="21"/>
          <w:szCs w:val="21"/>
        </w:rPr>
      </w:pPr>
      <w:bookmarkStart w:id="172" w:name="_Toc943976"/>
      <w:bookmarkStart w:id="173" w:name="_Toc522970368"/>
      <w:bookmarkStart w:id="174" w:name="_Toc525977331"/>
      <w:bookmarkStart w:id="175" w:name="_Toc10291"/>
      <w:bookmarkStart w:id="176" w:name="_Toc32244"/>
      <w:bookmarkStart w:id="177" w:name="_Toc340483317"/>
      <w:bookmarkStart w:id="178" w:name="_Toc23034"/>
      <w:r>
        <w:rPr>
          <w:rFonts w:hint="eastAsia" w:ascii="宋体" w:hAnsi="宋体"/>
          <w:b/>
          <w:sz w:val="21"/>
          <w:szCs w:val="21"/>
        </w:rPr>
        <w:t>15　变更</w:t>
      </w:r>
      <w:bookmarkEnd w:id="172"/>
      <w:bookmarkEnd w:id="173"/>
      <w:bookmarkEnd w:id="174"/>
      <w:bookmarkEnd w:id="175"/>
      <w:bookmarkEnd w:id="176"/>
      <w:bookmarkEnd w:id="177"/>
      <w:bookmarkEnd w:id="178"/>
    </w:p>
    <w:p w14:paraId="0F39FF99">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15.1</w:t>
      </w:r>
      <w:r>
        <w:rPr>
          <w:rFonts w:hint="eastAsia" w:ascii="宋体" w:hAnsi="宋体"/>
          <w:sz w:val="21"/>
          <w:szCs w:val="21"/>
        </w:rPr>
        <w:t>　变更的范围和内容</w:t>
      </w:r>
    </w:p>
    <w:p w14:paraId="75D5AF15">
      <w:pPr>
        <w:spacing w:line="360" w:lineRule="exact"/>
        <w:ind w:firstLine="420"/>
        <w:rPr>
          <w:rFonts w:ascii="宋体" w:hAnsi="宋体"/>
          <w:sz w:val="21"/>
          <w:szCs w:val="21"/>
        </w:rPr>
      </w:pPr>
      <w:r>
        <w:rPr>
          <w:rFonts w:ascii="宋体" w:hAnsi="宋体"/>
          <w:sz w:val="21"/>
          <w:szCs w:val="21"/>
        </w:rPr>
        <w:t>(6)</w:t>
      </w:r>
      <w:r>
        <w:rPr>
          <w:rFonts w:hint="eastAsia" w:ascii="宋体" w:hAnsi="宋体"/>
          <w:sz w:val="21"/>
          <w:szCs w:val="21"/>
        </w:rPr>
        <w:t>增加或减少合同中关键项目的工程量超过其工程总量的</w:t>
      </w:r>
      <w:r>
        <w:rPr>
          <w:rFonts w:ascii="宋体" w:hAnsi="宋体"/>
          <w:sz w:val="21"/>
          <w:szCs w:val="21"/>
          <w:u w:val="single"/>
        </w:rPr>
        <w:t>15</w:t>
      </w:r>
      <w:r>
        <w:rPr>
          <w:rFonts w:ascii="宋体" w:hAnsi="宋体"/>
          <w:sz w:val="21"/>
          <w:szCs w:val="21"/>
        </w:rPr>
        <w:t>%</w:t>
      </w:r>
      <w:r>
        <w:rPr>
          <w:rFonts w:hint="eastAsia" w:ascii="宋体" w:hAnsi="宋体"/>
          <w:sz w:val="21"/>
          <w:szCs w:val="21"/>
        </w:rPr>
        <w:t>，总价承包项目调整总价金额，综合单价承包项目</w:t>
      </w:r>
      <w:r>
        <w:rPr>
          <w:rFonts w:hint="eastAsia" w:ascii="宋体" w:hAnsi="宋体"/>
          <w:b/>
          <w:sz w:val="21"/>
          <w:szCs w:val="21"/>
        </w:rPr>
        <w:t>按15.4.1条专用条款执行。</w:t>
      </w:r>
    </w:p>
    <w:p w14:paraId="2BE2FD70">
      <w:pPr>
        <w:spacing w:line="360" w:lineRule="exact"/>
        <w:ind w:firstLine="420" w:firstLineChars="200"/>
        <w:rPr>
          <w:rFonts w:ascii="宋体" w:hAnsi="宋体"/>
          <w:sz w:val="21"/>
          <w:szCs w:val="21"/>
        </w:rPr>
      </w:pPr>
      <w:r>
        <w:rPr>
          <w:rFonts w:ascii="宋体" w:hAnsi="宋体"/>
          <w:sz w:val="21"/>
          <w:szCs w:val="21"/>
        </w:rPr>
        <w:t xml:space="preserve">15.3.1 </w:t>
      </w:r>
      <w:r>
        <w:rPr>
          <w:rFonts w:hint="eastAsia" w:ascii="宋体" w:hAnsi="宋体"/>
          <w:sz w:val="21"/>
          <w:szCs w:val="21"/>
        </w:rPr>
        <w:t>变更的提出</w:t>
      </w:r>
    </w:p>
    <w:p w14:paraId="04FD756E">
      <w:pPr>
        <w:spacing w:line="360" w:lineRule="exact"/>
        <w:ind w:firstLine="420" w:firstLineChars="200"/>
        <w:rPr>
          <w:rFonts w:ascii="宋体" w:hAnsi="宋体"/>
          <w:sz w:val="21"/>
          <w:szCs w:val="21"/>
        </w:rPr>
      </w:pPr>
      <w:r>
        <w:rPr>
          <w:rFonts w:hint="eastAsia" w:ascii="宋体" w:hAnsi="宋体"/>
          <w:sz w:val="21"/>
          <w:szCs w:val="21"/>
        </w:rPr>
        <w:t>（1）变更的提出。项目建设单位会同规划、勘察、设计、监理、项目管理等单位现场勘查，提出明确的书面变更方案报告。</w:t>
      </w:r>
    </w:p>
    <w:p w14:paraId="02A1F00E">
      <w:pPr>
        <w:spacing w:line="360" w:lineRule="exact"/>
        <w:ind w:firstLine="420" w:firstLineChars="200"/>
        <w:rPr>
          <w:rFonts w:ascii="宋体" w:hAnsi="宋体"/>
          <w:sz w:val="21"/>
          <w:szCs w:val="21"/>
        </w:rPr>
      </w:pPr>
      <w:r>
        <w:rPr>
          <w:rFonts w:hint="eastAsia" w:ascii="宋体" w:hAnsi="宋体"/>
          <w:sz w:val="21"/>
          <w:szCs w:val="21"/>
        </w:rPr>
        <w:t>（2）变更的审批。严格按照《常州市金坛区政府投资建设项目审计监督办法（修订）》（坛政规2021【2】号）进行报批后承包人方可实施。未获得批准文件的任何变更都是非法的和无效的变更。</w:t>
      </w:r>
    </w:p>
    <w:p w14:paraId="2A9086BD">
      <w:pPr>
        <w:spacing w:line="360" w:lineRule="exact"/>
        <w:ind w:firstLine="420" w:firstLineChars="200"/>
        <w:rPr>
          <w:rFonts w:ascii="宋体" w:hAnsi="宋体"/>
          <w:sz w:val="21"/>
          <w:szCs w:val="21"/>
        </w:rPr>
      </w:pPr>
      <w:r>
        <w:rPr>
          <w:rFonts w:ascii="宋体" w:hAnsi="宋体"/>
          <w:sz w:val="21"/>
          <w:szCs w:val="21"/>
        </w:rPr>
        <w:t xml:space="preserve">15.3.2 </w:t>
      </w:r>
      <w:r>
        <w:rPr>
          <w:rFonts w:hint="eastAsia" w:ascii="宋体" w:hAnsi="宋体"/>
          <w:sz w:val="21"/>
          <w:szCs w:val="21"/>
        </w:rPr>
        <w:t>变更估价</w:t>
      </w:r>
    </w:p>
    <w:p w14:paraId="4B49C4C6">
      <w:pPr>
        <w:spacing w:line="360" w:lineRule="exact"/>
        <w:ind w:firstLine="420" w:firstLineChars="200"/>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）除专用合同条款对期限另有约定外，监理人收到承包人变更报价书后的</w:t>
      </w:r>
      <w:r>
        <w:rPr>
          <w:rFonts w:ascii="宋体" w:hAnsi="宋体"/>
          <w:sz w:val="21"/>
          <w:szCs w:val="21"/>
        </w:rPr>
        <w:t>14</w:t>
      </w:r>
      <w:r>
        <w:rPr>
          <w:rFonts w:hint="eastAsia" w:ascii="宋体" w:hAnsi="宋体"/>
          <w:sz w:val="21"/>
          <w:szCs w:val="21"/>
        </w:rPr>
        <w:t>天内</w:t>
      </w:r>
      <w:r>
        <w:rPr>
          <w:rFonts w:hint="eastAsia" w:ascii="宋体" w:hAnsi="宋体"/>
          <w:b/>
          <w:sz w:val="21"/>
          <w:szCs w:val="21"/>
        </w:rPr>
        <w:t>签署是否采纳变更报价的意见后报送业主、跟踪审计方进行审查、分别签署变更估计意见返回给承包方，各方的变更估计意见存在重大分歧时，由业主召集各方共同商定结果，</w:t>
      </w:r>
      <w:r>
        <w:rPr>
          <w:rFonts w:hint="eastAsia" w:ascii="宋体" w:hAnsi="宋体"/>
          <w:sz w:val="21"/>
          <w:szCs w:val="21"/>
        </w:rPr>
        <w:t>根据第</w:t>
      </w:r>
      <w:r>
        <w:rPr>
          <w:rFonts w:ascii="宋体" w:hAnsi="宋体"/>
          <w:sz w:val="21"/>
          <w:szCs w:val="21"/>
        </w:rPr>
        <w:t>15.4</w:t>
      </w:r>
      <w:r>
        <w:rPr>
          <w:rFonts w:hint="eastAsia" w:ascii="宋体" w:hAnsi="宋体"/>
          <w:sz w:val="21"/>
          <w:szCs w:val="21"/>
        </w:rPr>
        <w:t>款约定的估价原则，按照第</w:t>
      </w:r>
      <w:r>
        <w:rPr>
          <w:rFonts w:ascii="宋体" w:hAnsi="宋体"/>
          <w:sz w:val="21"/>
          <w:szCs w:val="21"/>
        </w:rPr>
        <w:t>3.5</w:t>
      </w:r>
      <w:r>
        <w:rPr>
          <w:rFonts w:hint="eastAsia" w:ascii="宋体" w:hAnsi="宋体"/>
          <w:sz w:val="21"/>
          <w:szCs w:val="21"/>
        </w:rPr>
        <w:t>款商定或确定变更价格。</w:t>
      </w:r>
    </w:p>
    <w:p w14:paraId="54E00FBF">
      <w:pPr>
        <w:spacing w:line="360" w:lineRule="exact"/>
        <w:rPr>
          <w:rFonts w:ascii="宋体" w:hAnsi="宋体"/>
          <w:sz w:val="21"/>
          <w:szCs w:val="21"/>
        </w:rPr>
      </w:pPr>
      <w:r>
        <w:rPr>
          <w:rFonts w:hint="eastAsia" w:ascii="宋体" w:hAnsi="宋体"/>
          <w:sz w:val="21"/>
          <w:szCs w:val="21"/>
        </w:rPr>
        <w:t>15.4 变更的估价原则</w:t>
      </w:r>
    </w:p>
    <w:p w14:paraId="506FDCD9">
      <w:pPr>
        <w:spacing w:line="360" w:lineRule="exact"/>
        <w:rPr>
          <w:rFonts w:ascii="宋体" w:hAnsi="宋体"/>
          <w:sz w:val="21"/>
          <w:szCs w:val="21"/>
        </w:rPr>
      </w:pPr>
      <w:r>
        <w:rPr>
          <w:rFonts w:ascii="宋体" w:hAnsi="宋体"/>
          <w:sz w:val="21"/>
          <w:szCs w:val="21"/>
        </w:rPr>
        <w:t xml:space="preserve">15.4.1 </w:t>
      </w:r>
      <w:r>
        <w:rPr>
          <w:rFonts w:hint="eastAsia" w:ascii="宋体" w:hAnsi="宋体"/>
          <w:sz w:val="21"/>
          <w:szCs w:val="21"/>
        </w:rPr>
        <w:t>已标价工程量清单中有适用于变更工作的子目的，采用该子目的单价。</w:t>
      </w:r>
      <w:r>
        <w:rPr>
          <w:rFonts w:hint="eastAsia" w:ascii="宋体" w:hAnsi="宋体"/>
          <w:b/>
          <w:sz w:val="21"/>
          <w:szCs w:val="21"/>
        </w:rPr>
        <w:t>但采用不平衡报价且明显高于市场价的子目变更，其单价将在满足该子目中标工程量15%范围内采纳其报价，超出15%(含)以外的工程量采用下列15.4.3的方法确定单价。</w:t>
      </w:r>
    </w:p>
    <w:p w14:paraId="17622731">
      <w:pPr>
        <w:spacing w:line="360" w:lineRule="exact"/>
        <w:rPr>
          <w:rFonts w:hint="eastAsia" w:ascii="宋体" w:hAnsi="宋体"/>
          <w:b/>
          <w:sz w:val="21"/>
          <w:szCs w:val="21"/>
        </w:rPr>
      </w:pPr>
      <w:r>
        <w:rPr>
          <w:rFonts w:hint="eastAsia" w:ascii="宋体" w:hAnsi="宋体"/>
          <w:sz w:val="21"/>
          <w:szCs w:val="21"/>
        </w:rPr>
        <w:t>15.4.3 已标价工程量清单中无适用或类似子目的单价，</w:t>
      </w:r>
      <w:r>
        <w:rPr>
          <w:rFonts w:hint="eastAsia" w:ascii="宋体" w:hAnsi="宋体"/>
          <w:b/>
          <w:sz w:val="21"/>
          <w:szCs w:val="21"/>
        </w:rPr>
        <w:t>按江苏省水利工程预算定额计算办法和投标书中的材料价格确定单价；江苏省水利工程预算定额中无类似子目则可参照公路、市政等预算定额编制单价，若所有定额中均无该子目则参照类似工程单价或市场价。形成该单价后应按照投标结果进行同步下浮让利确定计量单价</w:t>
      </w:r>
      <w:r>
        <w:rPr>
          <w:rFonts w:hint="eastAsia" w:ascii="宋体" w:hAnsi="宋体" w:eastAsia="宋体" w:cs="Times New Roman"/>
          <w:sz w:val="21"/>
          <w:szCs w:val="21"/>
        </w:rPr>
        <w:t>。让利率根据中标价格同步让利。</w:t>
      </w:r>
    </w:p>
    <w:p w14:paraId="6CFDCFC6">
      <w:pPr>
        <w:spacing w:line="360" w:lineRule="exact"/>
        <w:outlineLvl w:val="1"/>
        <w:rPr>
          <w:rFonts w:ascii="宋体" w:hAnsi="宋体"/>
          <w:b/>
          <w:sz w:val="21"/>
          <w:szCs w:val="21"/>
        </w:rPr>
      </w:pPr>
      <w:bookmarkStart w:id="179" w:name="第04章合同条款及格式0216"/>
      <w:bookmarkEnd w:id="179"/>
      <w:bookmarkStart w:id="180" w:name="_Toc340483318"/>
      <w:bookmarkStart w:id="181" w:name="_Toc522970369"/>
      <w:bookmarkStart w:id="182" w:name="_Toc18158"/>
      <w:bookmarkStart w:id="183" w:name="_Toc943977"/>
      <w:bookmarkStart w:id="184" w:name="_Toc13765"/>
      <w:bookmarkStart w:id="185" w:name="_Toc13340"/>
      <w:bookmarkStart w:id="186" w:name="_Toc525977332"/>
      <w:r>
        <w:rPr>
          <w:rFonts w:hint="eastAsia" w:ascii="宋体" w:hAnsi="宋体"/>
          <w:b/>
          <w:sz w:val="21"/>
          <w:szCs w:val="21"/>
        </w:rPr>
        <w:t>16　价格调整</w:t>
      </w:r>
      <w:bookmarkEnd w:id="180"/>
      <w:bookmarkEnd w:id="181"/>
      <w:bookmarkEnd w:id="182"/>
      <w:bookmarkEnd w:id="183"/>
      <w:bookmarkEnd w:id="184"/>
      <w:bookmarkEnd w:id="185"/>
      <w:bookmarkEnd w:id="186"/>
    </w:p>
    <w:p w14:paraId="538982D3">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16.1</w:t>
      </w:r>
      <w:r>
        <w:rPr>
          <w:rFonts w:hint="eastAsia" w:ascii="宋体" w:hAnsi="宋体"/>
          <w:sz w:val="21"/>
          <w:szCs w:val="21"/>
        </w:rPr>
        <w:t>　物价波动引起的价格调整</w:t>
      </w:r>
    </w:p>
    <w:p w14:paraId="0D42CC50">
      <w:pPr>
        <w:spacing w:line="360" w:lineRule="exact"/>
        <w:ind w:firstLine="420" w:firstLineChars="200"/>
        <w:rPr>
          <w:rFonts w:ascii="宋体" w:hAnsi="宋体" w:cs="宋体"/>
          <w:sz w:val="21"/>
          <w:szCs w:val="21"/>
        </w:rPr>
      </w:pPr>
      <w:r>
        <w:rPr>
          <w:rFonts w:hint="eastAsia" w:ascii="宋体" w:hAnsi="宋体"/>
          <w:sz w:val="21"/>
          <w:szCs w:val="21"/>
        </w:rPr>
        <w:t>物价波动引起的价格调整方式：</w:t>
      </w:r>
      <w:r>
        <w:rPr>
          <w:rFonts w:hint="eastAsia" w:ascii="宋体" w:hAnsi="宋体" w:cs="宋体"/>
          <w:sz w:val="21"/>
          <w:szCs w:val="21"/>
        </w:rPr>
        <w:t>本工程合同价款中所有的材料均不因市场价格波动而调整。</w:t>
      </w:r>
    </w:p>
    <w:p w14:paraId="0E4D6FD1">
      <w:pPr>
        <w:spacing w:line="360" w:lineRule="exact"/>
        <w:outlineLvl w:val="1"/>
        <w:rPr>
          <w:rFonts w:ascii="宋体" w:hAnsi="宋体"/>
          <w:b/>
          <w:sz w:val="21"/>
          <w:szCs w:val="21"/>
        </w:rPr>
      </w:pPr>
      <w:bookmarkStart w:id="187" w:name="第04章合同条款及格式0217"/>
      <w:bookmarkEnd w:id="187"/>
      <w:bookmarkStart w:id="188" w:name="_Toc943978"/>
      <w:bookmarkStart w:id="189" w:name="_Toc4586"/>
      <w:bookmarkStart w:id="190" w:name="_Toc7746"/>
      <w:bookmarkStart w:id="191" w:name="_Toc525977333"/>
      <w:bookmarkStart w:id="192" w:name="_Toc522970370"/>
      <w:bookmarkStart w:id="193" w:name="_Toc340483319"/>
      <w:bookmarkStart w:id="194" w:name="_Toc27954"/>
      <w:r>
        <w:rPr>
          <w:rFonts w:hint="eastAsia" w:ascii="宋体" w:hAnsi="宋体"/>
          <w:b/>
          <w:sz w:val="21"/>
          <w:szCs w:val="21"/>
        </w:rPr>
        <w:t>17　计量与支付</w:t>
      </w:r>
      <w:bookmarkEnd w:id="188"/>
      <w:bookmarkEnd w:id="189"/>
      <w:bookmarkEnd w:id="190"/>
      <w:bookmarkEnd w:id="191"/>
      <w:bookmarkEnd w:id="192"/>
      <w:bookmarkEnd w:id="193"/>
      <w:bookmarkEnd w:id="194"/>
    </w:p>
    <w:p w14:paraId="2D3217FF">
      <w:pPr>
        <w:spacing w:line="360" w:lineRule="exact"/>
        <w:rPr>
          <w:rFonts w:ascii="宋体" w:hAnsi="宋体"/>
          <w:b/>
          <w:sz w:val="21"/>
          <w:szCs w:val="21"/>
        </w:rPr>
      </w:pPr>
      <w:r>
        <w:rPr>
          <w:rFonts w:hint="eastAsia" w:ascii="宋体" w:hAnsi="宋体"/>
          <w:b/>
          <w:sz w:val="21"/>
          <w:szCs w:val="21"/>
        </w:rPr>
        <w:t>　</w:t>
      </w:r>
      <w:r>
        <w:rPr>
          <w:rFonts w:ascii="宋体" w:hAnsi="宋体"/>
          <w:b/>
          <w:sz w:val="21"/>
          <w:szCs w:val="21"/>
        </w:rPr>
        <w:t>17.2</w:t>
      </w:r>
      <w:r>
        <w:rPr>
          <w:rFonts w:hint="eastAsia" w:ascii="宋体" w:hAnsi="宋体"/>
          <w:b/>
          <w:sz w:val="21"/>
          <w:szCs w:val="21"/>
        </w:rPr>
        <w:t>　预付款：本工程不设预付款。</w:t>
      </w:r>
    </w:p>
    <w:p w14:paraId="7F5BFCB2">
      <w:pPr>
        <w:spacing w:line="360" w:lineRule="exact"/>
        <w:rPr>
          <w:rFonts w:ascii="宋体" w:hAnsi="宋体"/>
          <w:b/>
          <w:sz w:val="21"/>
          <w:szCs w:val="21"/>
        </w:rPr>
      </w:pPr>
      <w:r>
        <w:rPr>
          <w:rFonts w:hint="eastAsia" w:ascii="宋体" w:hAnsi="宋体"/>
          <w:b/>
          <w:sz w:val="21"/>
          <w:szCs w:val="21"/>
        </w:rPr>
        <w:t xml:space="preserve">  </w:t>
      </w:r>
      <w:r>
        <w:rPr>
          <w:rFonts w:ascii="宋体" w:hAnsi="宋体"/>
          <w:b/>
          <w:sz w:val="21"/>
          <w:szCs w:val="21"/>
        </w:rPr>
        <w:t>17.</w:t>
      </w:r>
      <w:r>
        <w:rPr>
          <w:rFonts w:hint="eastAsia" w:ascii="宋体" w:hAnsi="宋体"/>
          <w:b/>
          <w:sz w:val="21"/>
          <w:szCs w:val="21"/>
        </w:rPr>
        <w:t>3　工程进度款</w:t>
      </w:r>
    </w:p>
    <w:p w14:paraId="3C30C135">
      <w:pPr>
        <w:spacing w:line="360" w:lineRule="exact"/>
        <w:ind w:firstLine="409" w:firstLineChars="195"/>
        <w:rPr>
          <w:rFonts w:hint="eastAsia" w:ascii="宋体" w:hAnsi="宋体" w:eastAsia="宋体" w:cs="Times New Roman"/>
          <w:color w:val="0000FF"/>
          <w:sz w:val="21"/>
          <w:szCs w:val="21"/>
          <w:lang w:val="en-US" w:eastAsia="zh-CN"/>
        </w:rPr>
      </w:pPr>
      <w:r>
        <w:rPr>
          <w:rFonts w:hint="eastAsia" w:ascii="宋体" w:hAnsi="宋体"/>
          <w:snapToGrid w:val="0"/>
          <w:color w:val="0000FF"/>
          <w:sz w:val="21"/>
          <w:szCs w:val="21"/>
          <w:highlight w:val="none"/>
        </w:rPr>
        <w:t>工程竣工验收合格后付至合同价款的50%，竣工验收合格后第二年且经审计部门审计后付至审定价款的80% ，竣工验收合格后第三年付清余款（无息）。</w:t>
      </w:r>
      <w:r>
        <w:rPr>
          <w:rFonts w:hint="eastAsia" w:ascii="宋体" w:hAnsi="宋体" w:eastAsia="宋体" w:cs="Times New Roman"/>
          <w:color w:val="0000FF"/>
          <w:sz w:val="21"/>
          <w:szCs w:val="21"/>
          <w:lang w:val="en-US" w:eastAsia="zh-CN"/>
        </w:rPr>
        <w:t>注：在支付上述工程款时，承包人应开具合法增值税发票（税率9%），提交给发包人。</w:t>
      </w:r>
    </w:p>
    <w:p w14:paraId="107F3A9F">
      <w:pPr>
        <w:spacing w:line="360" w:lineRule="exact"/>
        <w:ind w:firstLine="409" w:firstLineChars="195"/>
        <w:rPr>
          <w:rFonts w:ascii="宋体" w:hAnsi="宋体"/>
          <w:sz w:val="21"/>
          <w:szCs w:val="21"/>
        </w:rPr>
      </w:pPr>
      <w:r>
        <w:rPr>
          <w:rFonts w:hint="eastAsia" w:ascii="宋体" w:hAnsi="宋体"/>
          <w:sz w:val="21"/>
          <w:szCs w:val="21"/>
        </w:rPr>
        <w:t>发包人仅对监理人符合施工质量等级合格及以上且相关的质量评定,完备的工程项目内容进行支付，不合格工程及质量评定资料不完备的不予支付。对于争议较大的工程索赔等项目，经协商后在工程通过竣工审计后支付。</w:t>
      </w:r>
    </w:p>
    <w:p w14:paraId="71DD24C6">
      <w:pPr>
        <w:spacing w:line="360" w:lineRule="exact"/>
        <w:ind w:firstLine="315" w:firstLineChars="150"/>
        <w:rPr>
          <w:rFonts w:ascii="宋体" w:hAnsi="宋体"/>
          <w:sz w:val="21"/>
          <w:szCs w:val="21"/>
        </w:rPr>
      </w:pPr>
      <w:r>
        <w:rPr>
          <w:rFonts w:ascii="宋体" w:hAnsi="宋体"/>
          <w:sz w:val="21"/>
          <w:szCs w:val="21"/>
        </w:rPr>
        <w:t>17.4</w:t>
      </w:r>
      <w:r>
        <w:rPr>
          <w:rFonts w:hint="eastAsia" w:ascii="宋体" w:hAnsi="宋体"/>
          <w:sz w:val="21"/>
          <w:szCs w:val="21"/>
        </w:rPr>
        <w:t>　质量保证金</w:t>
      </w:r>
    </w:p>
    <w:p w14:paraId="4B25C916">
      <w:pPr>
        <w:spacing w:line="360" w:lineRule="exact"/>
        <w:ind w:left="210" w:hanging="210" w:hangingChars="100"/>
        <w:rPr>
          <w:rFonts w:ascii="宋体" w:hAnsi="宋体"/>
          <w:sz w:val="21"/>
          <w:szCs w:val="21"/>
        </w:rPr>
      </w:pPr>
      <w:r>
        <w:rPr>
          <w:rFonts w:hint="eastAsia" w:ascii="宋体" w:hAnsi="宋体"/>
          <w:sz w:val="21"/>
          <w:szCs w:val="21"/>
        </w:rPr>
        <w:t>　</w:t>
      </w:r>
      <w:r>
        <w:rPr>
          <w:rFonts w:ascii="宋体" w:hAnsi="宋体"/>
          <w:sz w:val="21"/>
          <w:szCs w:val="21"/>
        </w:rPr>
        <w:t>17.4.1</w:t>
      </w:r>
      <w:r>
        <w:rPr>
          <w:rFonts w:hint="eastAsia" w:ascii="宋体" w:hAnsi="宋体"/>
          <w:sz w:val="21"/>
          <w:szCs w:val="21"/>
        </w:rPr>
        <w:t>　每个付款周期扣留的质量保证金为工程进度付款的</w:t>
      </w:r>
      <w:r>
        <w:rPr>
          <w:rFonts w:hint="eastAsia" w:ascii="宋体" w:hAnsi="宋体"/>
          <w:sz w:val="21"/>
          <w:szCs w:val="21"/>
          <w:u w:val="single"/>
        </w:rPr>
        <w:t>/</w:t>
      </w:r>
      <w:r>
        <w:rPr>
          <w:rFonts w:ascii="宋体" w:hAnsi="宋体"/>
          <w:sz w:val="21"/>
          <w:szCs w:val="21"/>
        </w:rPr>
        <w:t>%</w:t>
      </w:r>
      <w:r>
        <w:rPr>
          <w:rFonts w:hint="eastAsia" w:ascii="宋体" w:hAnsi="宋体"/>
          <w:sz w:val="21"/>
          <w:szCs w:val="21"/>
        </w:rPr>
        <w:t>，扣留的质量保证金总额为签约审定价款的</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w:t>
      </w:r>
      <w:r>
        <w:rPr>
          <w:rFonts w:hint="eastAsia" w:ascii="宋体" w:hAnsi="宋体"/>
          <w:sz w:val="21"/>
          <w:szCs w:val="21"/>
        </w:rPr>
        <w:t>。</w:t>
      </w:r>
    </w:p>
    <w:p w14:paraId="37DB6CED">
      <w:pPr>
        <w:spacing w:line="360" w:lineRule="exact"/>
        <w:ind w:left="210" w:hanging="210" w:hangingChars="100"/>
        <w:rPr>
          <w:rFonts w:hint="eastAsia" w:ascii="宋体" w:hAnsi="宋体" w:eastAsia="宋体" w:cs="Times New Roman"/>
          <w:sz w:val="21"/>
          <w:szCs w:val="21"/>
        </w:rPr>
      </w:pPr>
      <w:r>
        <w:rPr>
          <w:rFonts w:hint="eastAsia" w:ascii="宋体" w:hAnsi="宋体" w:eastAsia="宋体" w:cs="Times New Roman"/>
          <w:sz w:val="21"/>
          <w:szCs w:val="21"/>
        </w:rPr>
        <w:t>17.4.4农民工工资管理</w:t>
      </w:r>
    </w:p>
    <w:p w14:paraId="02913FFD">
      <w:pPr>
        <w:spacing w:line="360" w:lineRule="exact"/>
        <w:ind w:left="210" w:hanging="210" w:hangingChars="100"/>
        <w:jc w:val="both"/>
        <w:rPr>
          <w:rFonts w:hint="eastAsia" w:ascii="宋体" w:hAnsi="宋体" w:eastAsia="宋体" w:cs="Times New Roman"/>
          <w:sz w:val="21"/>
          <w:szCs w:val="21"/>
        </w:rPr>
      </w:pPr>
      <w:r>
        <w:rPr>
          <w:rFonts w:hint="eastAsia" w:ascii="宋体" w:hAnsi="宋体" w:eastAsia="宋体" w:cs="Times New Roman"/>
          <w:sz w:val="21"/>
          <w:szCs w:val="21"/>
        </w:rPr>
        <w:t>承包人应按《常州市工程建设领域农民工工资保证金管理细则》（常人社发〔2022〕53号）等相关文件规定要求进行农民工工资支付管理。</w:t>
      </w:r>
    </w:p>
    <w:p w14:paraId="140788D2">
      <w:pPr>
        <w:spacing w:line="360" w:lineRule="exact"/>
        <w:ind w:left="210" w:hanging="210" w:hangingChars="100"/>
        <w:jc w:val="both"/>
        <w:rPr>
          <w:rFonts w:hint="eastAsia" w:ascii="宋体" w:hAnsi="宋体" w:eastAsia="宋体" w:cs="Times New Roman"/>
          <w:sz w:val="21"/>
          <w:szCs w:val="21"/>
        </w:rPr>
      </w:pPr>
      <w:r>
        <w:rPr>
          <w:rFonts w:hint="eastAsia" w:ascii="宋体" w:hAnsi="宋体" w:eastAsia="宋体" w:cs="Times New Roman"/>
          <w:sz w:val="21"/>
          <w:szCs w:val="21"/>
        </w:rPr>
        <w:t>根据《常州市工程建设领域农民工工资保证金管理细则》（常人社发〔2022〕53号）、《江苏省工程建设领域农民工工资支付管理办法》、《常州市水利行业全面治理拖欠农民工工资问题实施细则（试行）》等要求，中标单位应在工程项目所在地银行开设农民工工资专用账户。承包人应建立健全的清理拖欠农民工工资应急预案，并及时足额将农民工工资发放到位。</w:t>
      </w:r>
    </w:p>
    <w:p w14:paraId="08FA7EAA">
      <w:pPr>
        <w:spacing w:line="360" w:lineRule="exact"/>
        <w:rPr>
          <w:rFonts w:ascii="宋体" w:hAnsi="宋体"/>
          <w:sz w:val="21"/>
          <w:szCs w:val="21"/>
        </w:rPr>
      </w:pPr>
      <w:r>
        <w:rPr>
          <w:rFonts w:ascii="宋体" w:hAnsi="宋体"/>
          <w:sz w:val="21"/>
          <w:szCs w:val="21"/>
        </w:rPr>
        <w:t>17.5</w:t>
      </w:r>
      <w:r>
        <w:rPr>
          <w:rFonts w:hint="eastAsia" w:ascii="宋体" w:hAnsi="宋体"/>
          <w:sz w:val="21"/>
          <w:szCs w:val="21"/>
        </w:rPr>
        <w:t>　竣工</w:t>
      </w:r>
      <w:r>
        <w:rPr>
          <w:rFonts w:ascii="宋体" w:hAnsi="宋体"/>
          <w:sz w:val="21"/>
          <w:szCs w:val="21"/>
        </w:rPr>
        <w:t>(</w:t>
      </w:r>
      <w:r>
        <w:rPr>
          <w:rFonts w:hint="eastAsia" w:ascii="宋体" w:hAnsi="宋体"/>
          <w:sz w:val="21"/>
          <w:szCs w:val="21"/>
        </w:rPr>
        <w:t>完工</w:t>
      </w:r>
      <w:r>
        <w:rPr>
          <w:rFonts w:ascii="宋体" w:hAnsi="宋体"/>
          <w:sz w:val="21"/>
          <w:szCs w:val="21"/>
        </w:rPr>
        <w:t>)</w:t>
      </w:r>
      <w:r>
        <w:rPr>
          <w:rFonts w:hint="eastAsia" w:ascii="宋体" w:hAnsi="宋体"/>
          <w:sz w:val="21"/>
          <w:szCs w:val="21"/>
        </w:rPr>
        <w:t>结算</w:t>
      </w:r>
    </w:p>
    <w:p w14:paraId="0B6288CC">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17.5.1</w:t>
      </w:r>
      <w:r>
        <w:rPr>
          <w:rFonts w:hint="eastAsia" w:ascii="宋体" w:hAnsi="宋体"/>
          <w:sz w:val="21"/>
          <w:szCs w:val="21"/>
        </w:rPr>
        <w:t>　竣工</w:t>
      </w:r>
      <w:r>
        <w:rPr>
          <w:rFonts w:ascii="宋体" w:hAnsi="宋体"/>
          <w:sz w:val="21"/>
          <w:szCs w:val="21"/>
        </w:rPr>
        <w:t>(</w:t>
      </w:r>
      <w:r>
        <w:rPr>
          <w:rFonts w:hint="eastAsia" w:ascii="宋体" w:hAnsi="宋体"/>
          <w:sz w:val="21"/>
          <w:szCs w:val="21"/>
        </w:rPr>
        <w:t>完工</w:t>
      </w:r>
      <w:r>
        <w:rPr>
          <w:rFonts w:ascii="宋体" w:hAnsi="宋体"/>
          <w:sz w:val="21"/>
          <w:szCs w:val="21"/>
        </w:rPr>
        <w:t>)</w:t>
      </w:r>
      <w:r>
        <w:rPr>
          <w:rFonts w:hint="eastAsia" w:ascii="宋体" w:hAnsi="宋体"/>
          <w:sz w:val="21"/>
          <w:szCs w:val="21"/>
        </w:rPr>
        <w:t>付款申请单</w:t>
      </w:r>
    </w:p>
    <w:p w14:paraId="19C98BEE">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承包人应提交完工付款申请单一式</w:t>
      </w:r>
      <w:r>
        <w:rPr>
          <w:rFonts w:ascii="宋体" w:hAnsi="宋体"/>
          <w:sz w:val="21"/>
          <w:szCs w:val="21"/>
          <w:u w:val="single"/>
        </w:rPr>
        <w:t>2</w:t>
      </w:r>
      <w:r>
        <w:rPr>
          <w:rFonts w:hint="eastAsia" w:ascii="宋体" w:hAnsi="宋体"/>
          <w:sz w:val="21"/>
          <w:szCs w:val="21"/>
        </w:rPr>
        <w:t>份。</w:t>
      </w:r>
    </w:p>
    <w:p w14:paraId="79591B09">
      <w:pPr>
        <w:spacing w:line="360" w:lineRule="exact"/>
        <w:rPr>
          <w:rFonts w:ascii="宋体" w:hAnsi="宋体"/>
          <w:sz w:val="21"/>
          <w:szCs w:val="21"/>
        </w:rPr>
      </w:pPr>
      <w:r>
        <w:rPr>
          <w:rFonts w:ascii="宋体" w:hAnsi="宋体"/>
          <w:sz w:val="21"/>
          <w:szCs w:val="21"/>
        </w:rPr>
        <w:t>17.6</w:t>
      </w:r>
      <w:r>
        <w:rPr>
          <w:rFonts w:hint="eastAsia" w:ascii="宋体" w:hAnsi="宋体"/>
          <w:sz w:val="21"/>
          <w:szCs w:val="21"/>
        </w:rPr>
        <w:t>　最终结清</w:t>
      </w:r>
    </w:p>
    <w:p w14:paraId="12AD19CB">
      <w:pPr>
        <w:spacing w:line="360" w:lineRule="exact"/>
        <w:rPr>
          <w:rFonts w:ascii="宋体" w:hAnsi="宋体"/>
          <w:sz w:val="21"/>
          <w:szCs w:val="21"/>
        </w:rPr>
      </w:pPr>
      <w:r>
        <w:rPr>
          <w:rFonts w:ascii="宋体" w:hAnsi="宋体"/>
          <w:sz w:val="21"/>
          <w:szCs w:val="21"/>
        </w:rPr>
        <w:t>17.6.1</w:t>
      </w:r>
      <w:r>
        <w:rPr>
          <w:rFonts w:hint="eastAsia" w:ascii="宋体" w:hAnsi="宋体"/>
          <w:sz w:val="21"/>
          <w:szCs w:val="21"/>
        </w:rPr>
        <w:t>　最终结清申请单</w:t>
      </w:r>
    </w:p>
    <w:p w14:paraId="7BE632A2">
      <w:pPr>
        <w:spacing w:line="360" w:lineRule="exact"/>
        <w:ind w:firstLine="420"/>
        <w:rPr>
          <w:rFonts w:ascii="宋体" w:hAnsi="宋体"/>
          <w:sz w:val="21"/>
          <w:szCs w:val="21"/>
        </w:rPr>
      </w:pPr>
      <w:r>
        <w:rPr>
          <w:rFonts w:ascii="宋体" w:hAnsi="宋体"/>
          <w:sz w:val="21"/>
          <w:szCs w:val="21"/>
        </w:rPr>
        <w:t>(1)</w:t>
      </w:r>
      <w:r>
        <w:rPr>
          <w:rFonts w:hint="eastAsia" w:ascii="宋体" w:hAnsi="宋体"/>
          <w:sz w:val="21"/>
          <w:szCs w:val="21"/>
        </w:rPr>
        <w:t>承包人应提交最终结清申请单一式</w:t>
      </w:r>
      <w:r>
        <w:rPr>
          <w:rFonts w:hint="eastAsia" w:ascii="宋体" w:hAnsi="宋体"/>
          <w:sz w:val="21"/>
          <w:szCs w:val="21"/>
          <w:u w:val="single"/>
        </w:rPr>
        <w:t>2</w:t>
      </w:r>
      <w:r>
        <w:rPr>
          <w:rFonts w:hint="eastAsia" w:ascii="宋体" w:hAnsi="宋体"/>
          <w:sz w:val="21"/>
          <w:szCs w:val="21"/>
        </w:rPr>
        <w:t>份；并提供经监理人审核过的电子文档</w:t>
      </w:r>
      <w:r>
        <w:rPr>
          <w:rFonts w:ascii="宋体" w:hAnsi="宋体"/>
          <w:sz w:val="21"/>
          <w:szCs w:val="21"/>
          <w:u w:val="single"/>
        </w:rPr>
        <w:t xml:space="preserve"> 1 </w:t>
      </w:r>
      <w:r>
        <w:rPr>
          <w:rFonts w:hint="eastAsia" w:ascii="宋体" w:hAnsi="宋体"/>
          <w:sz w:val="21"/>
          <w:szCs w:val="21"/>
        </w:rPr>
        <w:t>份。</w:t>
      </w:r>
    </w:p>
    <w:p w14:paraId="3FA76D7F">
      <w:pPr>
        <w:spacing w:line="360" w:lineRule="exact"/>
        <w:rPr>
          <w:rFonts w:ascii="宋体" w:hAnsi="宋体"/>
          <w:sz w:val="21"/>
          <w:szCs w:val="21"/>
        </w:rPr>
      </w:pPr>
      <w:r>
        <w:rPr>
          <w:rFonts w:ascii="宋体" w:hAnsi="宋体"/>
          <w:sz w:val="21"/>
          <w:szCs w:val="21"/>
        </w:rPr>
        <w:t>17.8</w:t>
      </w:r>
      <w:r>
        <w:rPr>
          <w:rFonts w:hint="eastAsia" w:ascii="宋体" w:hAnsi="宋体"/>
          <w:sz w:val="21"/>
          <w:szCs w:val="21"/>
        </w:rPr>
        <w:t>　竣工审计</w:t>
      </w:r>
    </w:p>
    <w:p w14:paraId="4506D5EA">
      <w:pPr>
        <w:spacing w:line="360" w:lineRule="exact"/>
        <w:ind w:firstLine="420"/>
        <w:rPr>
          <w:rFonts w:ascii="宋体" w:hAnsi="宋体"/>
          <w:sz w:val="21"/>
          <w:szCs w:val="21"/>
        </w:rPr>
      </w:pPr>
      <w:r>
        <w:rPr>
          <w:rFonts w:hint="eastAsia" w:ascii="宋体" w:hAnsi="宋体"/>
          <w:sz w:val="21"/>
          <w:szCs w:val="21"/>
        </w:rPr>
        <w:t>17.8.1发包人负责完成本工程竣工审计手续，承包人应完成相关配合工作。</w:t>
      </w:r>
    </w:p>
    <w:p w14:paraId="27D9AADB">
      <w:pPr>
        <w:spacing w:line="360" w:lineRule="exact"/>
        <w:ind w:firstLine="420"/>
        <w:rPr>
          <w:rFonts w:ascii="宋体" w:hAnsi="宋体"/>
          <w:sz w:val="21"/>
          <w:szCs w:val="21"/>
        </w:rPr>
      </w:pPr>
      <w:r>
        <w:rPr>
          <w:rFonts w:hint="eastAsia" w:ascii="宋体" w:hAnsi="宋体"/>
          <w:sz w:val="21"/>
          <w:szCs w:val="21"/>
        </w:rPr>
        <w:t>17.8.2关于结算审核费：本工程结算审核的核减费费率控制在8%内（含8%）。如12%≥核减费费率＞8%时，审核费用乙方必须承担一半；核减费费率＞12%时，该工程所有审计费均由乙方承担。以上费用不累进。</w:t>
      </w:r>
    </w:p>
    <w:p w14:paraId="5B01CA55">
      <w:pPr>
        <w:spacing w:line="360" w:lineRule="exact"/>
        <w:outlineLvl w:val="1"/>
        <w:rPr>
          <w:rFonts w:ascii="宋体" w:hAnsi="宋体"/>
          <w:sz w:val="21"/>
          <w:szCs w:val="21"/>
        </w:rPr>
      </w:pPr>
      <w:bookmarkStart w:id="195" w:name="第04章合同条款及格式0218"/>
      <w:bookmarkEnd w:id="195"/>
      <w:bookmarkStart w:id="196" w:name="_Toc522970371"/>
      <w:bookmarkStart w:id="197" w:name="_Toc9838"/>
      <w:bookmarkStart w:id="198" w:name="_Toc7531"/>
      <w:bookmarkStart w:id="199" w:name="_Toc410675391"/>
      <w:bookmarkStart w:id="200" w:name="_Toc943979"/>
      <w:bookmarkStart w:id="201" w:name="_Toc525977334"/>
      <w:bookmarkStart w:id="202" w:name="_Toc32097"/>
      <w:bookmarkStart w:id="203" w:name="_Toc340483320"/>
      <w:r>
        <w:rPr>
          <w:rFonts w:hint="eastAsia" w:ascii="宋体" w:hAnsi="宋体"/>
          <w:b/>
          <w:sz w:val="21"/>
          <w:szCs w:val="21"/>
        </w:rPr>
        <w:t>18　竣工验收(验收)</w:t>
      </w:r>
      <w:bookmarkEnd w:id="196"/>
      <w:bookmarkEnd w:id="197"/>
      <w:bookmarkEnd w:id="198"/>
      <w:bookmarkEnd w:id="199"/>
      <w:bookmarkEnd w:id="200"/>
      <w:bookmarkEnd w:id="201"/>
      <w:bookmarkEnd w:id="202"/>
      <w:bookmarkEnd w:id="203"/>
    </w:p>
    <w:p w14:paraId="6B427BE8">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18.1</w:t>
      </w:r>
      <w:r>
        <w:rPr>
          <w:rFonts w:hint="eastAsia" w:ascii="宋体" w:hAnsi="宋体"/>
          <w:sz w:val="21"/>
          <w:szCs w:val="21"/>
        </w:rPr>
        <w:t>　验收工作分类</w:t>
      </w:r>
    </w:p>
    <w:p w14:paraId="2F0D901A">
      <w:pPr>
        <w:spacing w:line="360" w:lineRule="exact"/>
        <w:ind w:firstLine="420"/>
        <w:rPr>
          <w:rFonts w:ascii="宋体" w:hAnsi="宋体"/>
          <w:sz w:val="21"/>
          <w:szCs w:val="21"/>
        </w:rPr>
      </w:pPr>
      <w:r>
        <w:rPr>
          <w:rFonts w:hint="eastAsia" w:ascii="宋体" w:hAnsi="宋体"/>
          <w:sz w:val="21"/>
          <w:szCs w:val="21"/>
        </w:rPr>
        <w:t>本工程法人验收包括：分部工程验收、单位工程验收、合同工程完工验收；</w:t>
      </w:r>
    </w:p>
    <w:p w14:paraId="58A13918">
      <w:pPr>
        <w:spacing w:line="360" w:lineRule="exact"/>
        <w:ind w:firstLine="420"/>
        <w:rPr>
          <w:rFonts w:ascii="宋体" w:hAnsi="宋体"/>
          <w:sz w:val="21"/>
          <w:szCs w:val="21"/>
        </w:rPr>
      </w:pPr>
      <w:r>
        <w:rPr>
          <w:rFonts w:hint="eastAsia" w:ascii="宋体" w:hAnsi="宋体"/>
          <w:sz w:val="21"/>
          <w:szCs w:val="21"/>
        </w:rPr>
        <w:t>政府验收：工程竣工验收。</w:t>
      </w:r>
    </w:p>
    <w:p w14:paraId="6EF8E173">
      <w:pPr>
        <w:spacing w:line="360" w:lineRule="exact"/>
        <w:ind w:firstLine="420"/>
        <w:rPr>
          <w:rFonts w:ascii="宋体" w:hAnsi="宋体"/>
          <w:sz w:val="21"/>
          <w:szCs w:val="21"/>
        </w:rPr>
      </w:pPr>
      <w:r>
        <w:rPr>
          <w:rFonts w:hint="eastAsia" w:ascii="宋体" w:hAnsi="宋体"/>
          <w:sz w:val="21"/>
          <w:szCs w:val="21"/>
        </w:rPr>
        <w:t>验收条件为：工程质量达到合格。</w:t>
      </w:r>
    </w:p>
    <w:p w14:paraId="7AE5417F">
      <w:pPr>
        <w:spacing w:line="360" w:lineRule="exact"/>
        <w:outlineLvl w:val="1"/>
        <w:rPr>
          <w:rFonts w:ascii="宋体" w:hAnsi="宋体"/>
          <w:b/>
          <w:sz w:val="21"/>
          <w:szCs w:val="21"/>
        </w:rPr>
      </w:pPr>
      <w:bookmarkStart w:id="204" w:name="第04章合同条款及格式0219"/>
      <w:bookmarkEnd w:id="204"/>
      <w:bookmarkStart w:id="205" w:name="_Toc23375"/>
      <w:bookmarkStart w:id="206" w:name="_Toc23649"/>
      <w:bookmarkStart w:id="207" w:name="_Toc29046"/>
      <w:bookmarkStart w:id="208" w:name="_Toc943980"/>
      <w:bookmarkStart w:id="209" w:name="_Toc522970372"/>
      <w:bookmarkStart w:id="210" w:name="_Toc525977335"/>
      <w:r>
        <w:rPr>
          <w:rFonts w:hint="eastAsia" w:ascii="宋体" w:hAnsi="宋体"/>
          <w:b/>
          <w:sz w:val="21"/>
          <w:szCs w:val="21"/>
        </w:rPr>
        <w:t>19　缺陷责任与保修责任</w:t>
      </w:r>
      <w:bookmarkEnd w:id="205"/>
      <w:bookmarkEnd w:id="206"/>
      <w:bookmarkEnd w:id="207"/>
      <w:bookmarkEnd w:id="208"/>
      <w:bookmarkEnd w:id="209"/>
      <w:bookmarkEnd w:id="210"/>
    </w:p>
    <w:p w14:paraId="52CDCA22">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19.1</w:t>
      </w:r>
      <w:r>
        <w:rPr>
          <w:rFonts w:hint="eastAsia" w:ascii="宋体" w:hAnsi="宋体"/>
          <w:sz w:val="21"/>
          <w:szCs w:val="21"/>
        </w:rPr>
        <w:t>　缺陷责任期</w:t>
      </w:r>
      <w:r>
        <w:rPr>
          <w:rFonts w:ascii="宋体" w:hAnsi="宋体"/>
          <w:sz w:val="21"/>
          <w:szCs w:val="21"/>
        </w:rPr>
        <w:t>(</w:t>
      </w:r>
      <w:r>
        <w:rPr>
          <w:rFonts w:hint="eastAsia" w:ascii="宋体" w:hAnsi="宋体"/>
          <w:sz w:val="21"/>
          <w:szCs w:val="21"/>
        </w:rPr>
        <w:t>工程质量保修期</w:t>
      </w:r>
      <w:r>
        <w:rPr>
          <w:rFonts w:ascii="宋体" w:hAnsi="宋体"/>
          <w:sz w:val="21"/>
          <w:szCs w:val="21"/>
        </w:rPr>
        <w:t>)</w:t>
      </w:r>
      <w:r>
        <w:rPr>
          <w:rFonts w:hint="eastAsia" w:ascii="宋体" w:hAnsi="宋体"/>
          <w:sz w:val="21"/>
          <w:szCs w:val="21"/>
        </w:rPr>
        <w:t>的时间：</w:t>
      </w:r>
      <w:r>
        <w:rPr>
          <w:rFonts w:hint="eastAsia" w:ascii="宋体" w:hAnsi="宋体" w:eastAsia="宋体" w:cs="Times New Roman"/>
          <w:sz w:val="21"/>
          <w:szCs w:val="21"/>
          <w:lang w:eastAsia="zh-CN"/>
        </w:rPr>
        <w:t>竣工验收合格后一年</w:t>
      </w:r>
      <w:r>
        <w:rPr>
          <w:rFonts w:hint="eastAsia" w:ascii="宋体" w:hAnsi="宋体" w:eastAsia="宋体" w:cs="Times New Roman"/>
          <w:sz w:val="21"/>
          <w:szCs w:val="21"/>
        </w:rPr>
        <w:t>。</w:t>
      </w:r>
    </w:p>
    <w:p w14:paraId="48635424">
      <w:pPr>
        <w:spacing w:line="360" w:lineRule="exact"/>
        <w:outlineLvl w:val="1"/>
        <w:rPr>
          <w:rFonts w:ascii="宋体" w:hAnsi="宋体"/>
          <w:b/>
          <w:sz w:val="21"/>
          <w:szCs w:val="21"/>
        </w:rPr>
      </w:pPr>
      <w:bookmarkStart w:id="211" w:name="第04章合同条款及格式0220"/>
      <w:bookmarkEnd w:id="211"/>
      <w:bookmarkStart w:id="212" w:name="_Toc5051"/>
      <w:bookmarkStart w:id="213" w:name="_Toc340483321"/>
      <w:bookmarkStart w:id="214" w:name="_Toc522970373"/>
      <w:bookmarkStart w:id="215" w:name="_Toc525977336"/>
      <w:bookmarkStart w:id="216" w:name="_Toc943981"/>
      <w:bookmarkStart w:id="217" w:name="_Toc21757"/>
      <w:bookmarkStart w:id="218" w:name="_Toc7667"/>
      <w:r>
        <w:rPr>
          <w:rFonts w:hint="eastAsia" w:ascii="宋体" w:hAnsi="宋体"/>
          <w:b/>
          <w:sz w:val="21"/>
          <w:szCs w:val="21"/>
        </w:rPr>
        <w:t>20　保险</w:t>
      </w:r>
      <w:bookmarkEnd w:id="212"/>
      <w:bookmarkEnd w:id="213"/>
      <w:bookmarkEnd w:id="214"/>
      <w:bookmarkEnd w:id="215"/>
      <w:bookmarkEnd w:id="216"/>
      <w:bookmarkEnd w:id="217"/>
      <w:bookmarkEnd w:id="218"/>
    </w:p>
    <w:p w14:paraId="7B71A1D1">
      <w:pPr>
        <w:spacing w:line="360" w:lineRule="auto"/>
        <w:rPr>
          <w:rFonts w:hint="eastAsia" w:ascii="宋体" w:hAnsi="宋体" w:eastAsia="宋体" w:cs="宋体"/>
          <w:color w:val="auto"/>
          <w:sz w:val="21"/>
          <w:szCs w:val="21"/>
          <w:highlight w:val="none"/>
        </w:rPr>
      </w:pPr>
      <w:bookmarkStart w:id="219" w:name="_Toc6720"/>
      <w:bookmarkStart w:id="220" w:name="_Toc943982"/>
      <w:r>
        <w:rPr>
          <w:rFonts w:hint="eastAsia" w:ascii="宋体" w:hAnsi="宋体" w:eastAsia="宋体" w:cs="宋体"/>
          <w:color w:val="auto"/>
          <w:sz w:val="21"/>
          <w:szCs w:val="21"/>
          <w:highlight w:val="none"/>
        </w:rPr>
        <w:t>20.1　工程保险</w:t>
      </w:r>
    </w:p>
    <w:p w14:paraId="305A7961">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以发包人和承包人的共同名义向双方同意的保险人投保建筑工程一切险、安装工程一切险、第三者责任险等险种，保险费率投标人自行调查测算，保额为工程中标合同价，保险期限为工程合同工期（其中按照《江苏省工伤保险费率管理办法》（苏人社规〔2020〕1号）第六条</w:t>
      </w:r>
      <w:r>
        <w:rPr>
          <w:rFonts w:hint="eastAsia" w:ascii="宋体" w:hAnsi="宋体" w:eastAsia="宋体" w:cs="宋体"/>
          <w:color w:val="auto"/>
          <w:sz w:val="21"/>
          <w:szCs w:val="21"/>
          <w:highlight w:val="none"/>
          <w:lang w:val="en-US" w:eastAsia="zh-CN"/>
        </w:rPr>
        <w:t>执行</w:t>
      </w:r>
      <w:r>
        <w:rPr>
          <w:rFonts w:hint="eastAsia" w:ascii="宋体" w:hAnsi="宋体" w:eastAsia="宋体" w:cs="宋体"/>
          <w:color w:val="auto"/>
          <w:sz w:val="21"/>
          <w:szCs w:val="21"/>
          <w:highlight w:val="none"/>
        </w:rPr>
        <w:t>，施工企业必须按工程总造价的0.</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‰缴纳工伤保险。）</w:t>
      </w:r>
    </w:p>
    <w:p w14:paraId="75617F1C">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  人员工伤事故的保险</w:t>
      </w:r>
    </w:p>
    <w:p w14:paraId="2148F65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按照《市人社局、市发展改革委、市城乡建设局、市交通运输局、市水利局、市安监局、市总工会转发省人力资源社会保障厅等八部门〈转发人力资源</w:t>
      </w:r>
      <w:r>
        <w:rPr>
          <w:rFonts w:hint="eastAsia" w:ascii="宋体" w:hAnsi="宋体" w:cs="宋体"/>
          <w:color w:val="auto"/>
          <w:sz w:val="21"/>
          <w:szCs w:val="21"/>
          <w:highlight w:val="none"/>
          <w:lang w:val="en-US" w:eastAsia="zh-CN"/>
        </w:rPr>
        <w:t>和</w:t>
      </w:r>
      <w:r>
        <w:rPr>
          <w:rFonts w:hint="eastAsia" w:ascii="宋体" w:hAnsi="宋体" w:eastAsia="宋体" w:cs="宋体"/>
          <w:color w:val="auto"/>
          <w:sz w:val="21"/>
          <w:szCs w:val="21"/>
          <w:highlight w:val="none"/>
        </w:rPr>
        <w:t>社</w:t>
      </w:r>
      <w:r>
        <w:rPr>
          <w:rFonts w:hint="eastAsia" w:ascii="宋体" w:hAnsi="宋体" w:cs="宋体"/>
          <w:color w:val="auto"/>
          <w:sz w:val="21"/>
          <w:szCs w:val="21"/>
          <w:highlight w:val="none"/>
          <w:lang w:val="en-US" w:eastAsia="zh-CN"/>
        </w:rPr>
        <w:t>会</w:t>
      </w:r>
      <w:bookmarkStart w:id="288" w:name="_GoBack"/>
      <w:bookmarkEnd w:id="288"/>
      <w:r>
        <w:rPr>
          <w:rFonts w:hint="eastAsia" w:ascii="宋体" w:hAnsi="宋体" w:eastAsia="宋体" w:cs="宋体"/>
          <w:color w:val="auto"/>
          <w:sz w:val="21"/>
          <w:szCs w:val="21"/>
          <w:highlight w:val="none"/>
        </w:rPr>
        <w:t>保障部等六部门关于铁路公路水运水利能源机场工程建设项目参加工伤保险工作通知〉的通知》（常人社发〔2018〕132号）规定：建设施工企业应按照《社会保险法》《安全生产法》《工作保险条例》等法律法规规定，依法参加工伤保险。对难以按缴费工资参保缴费的工程建设项目使用的职工特别是短期雇佣的农民工，应当以工程项目为单元优先参加工作保险。施工企业凭社会保险经办机构出具的《建筑施工项目参加工伤保险参保证明》和发票，向建设单位申报费用。”</w:t>
      </w:r>
    </w:p>
    <w:p w14:paraId="276A5CEA">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　第三者责任险</w:t>
      </w:r>
    </w:p>
    <w:p w14:paraId="2C59B50A">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20.4.1　第三者责任险由承包人根据工程和自身的情况自主确定是否投保，并承担其相应的责任。承包人投保与否，并不免除其应负的在其管辖区内及其毗邻带发生的第三者人员人身伤害和财产损失的赔偿责任，其赔偿费用应包括赔偿费、诉讼费和其它费用。</w:t>
      </w:r>
    </w:p>
    <w:p w14:paraId="3B7F64D6">
      <w:pPr>
        <w:spacing w:line="360" w:lineRule="auto"/>
        <w:ind w:firstLine="42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20.5 安全生产责任保险</w:t>
      </w:r>
    </w:p>
    <w:p w14:paraId="65B71738">
      <w:pPr>
        <w:spacing w:line="360" w:lineRule="auto"/>
        <w:ind w:firstLine="42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20.5.1国家鼓励生产经营单位投保安全生产责任保险；属于国家规定的高危行业、领域的生产经营单位，应当投保安全生产责任保险。</w:t>
      </w:r>
    </w:p>
    <w:p w14:paraId="1D266115">
      <w:pPr>
        <w:spacing w:line="360" w:lineRule="exact"/>
        <w:outlineLvl w:val="1"/>
        <w:rPr>
          <w:rFonts w:ascii="宋体" w:hAnsi="宋体"/>
          <w:b/>
          <w:sz w:val="21"/>
          <w:szCs w:val="21"/>
        </w:rPr>
      </w:pPr>
      <w:r>
        <w:rPr>
          <w:rFonts w:hint="eastAsia" w:ascii="宋体" w:hAnsi="宋体"/>
          <w:b/>
          <w:sz w:val="21"/>
          <w:szCs w:val="21"/>
        </w:rPr>
        <w:t>21.其他</w:t>
      </w:r>
      <w:bookmarkEnd w:id="219"/>
      <w:bookmarkEnd w:id="220"/>
    </w:p>
    <w:p w14:paraId="6C7EE2CF">
      <w:pPr>
        <w:spacing w:line="360" w:lineRule="exact"/>
        <w:ind w:firstLine="420" w:firstLineChars="200"/>
        <w:outlineLvl w:val="1"/>
        <w:rPr>
          <w:rFonts w:ascii="宋体" w:hAnsi="宋体"/>
          <w:sz w:val="21"/>
          <w:szCs w:val="21"/>
        </w:rPr>
      </w:pPr>
      <w:bookmarkStart w:id="221" w:name="_Toc522970374"/>
      <w:bookmarkStart w:id="222" w:name="_Toc529630684"/>
      <w:bookmarkStart w:id="223" w:name="_Toc943983"/>
      <w:bookmarkStart w:id="224" w:name="_Toc17407"/>
      <w:bookmarkStart w:id="225" w:name="_Toc529630845"/>
      <w:bookmarkStart w:id="226" w:name="_Toc530729915"/>
      <w:bookmarkStart w:id="227" w:name="_Toc529977822"/>
      <w:bookmarkStart w:id="228" w:name="_Toc529882203"/>
      <w:bookmarkStart w:id="229" w:name="_Toc531013068"/>
      <w:bookmarkStart w:id="230" w:name="_Toc525977337"/>
      <w:r>
        <w:rPr>
          <w:rFonts w:hint="eastAsia" w:ascii="宋体" w:hAnsi="宋体"/>
          <w:sz w:val="21"/>
          <w:szCs w:val="21"/>
        </w:rPr>
        <w:t>21.1</w:t>
      </w:r>
      <w:bookmarkStart w:id="231" w:name="_Toc496171408"/>
      <w:r>
        <w:rPr>
          <w:rFonts w:hint="eastAsia" w:ascii="宋体" w:hAnsi="宋体"/>
          <w:sz w:val="21"/>
          <w:szCs w:val="21"/>
        </w:rPr>
        <w:t>施工方在履行本合同专用条款15.3.1项时，因变更原因不合理、施工方恶意变更（如利用不平衡报价使施工方达到利益最大化等非国家强制规范调整引起）、擅自变更等情形导致发包人被问责的，以及未能按投标文件承诺的方法和措施控制变更的，应同时追究施工方的责任，并扣减此项变更给发包人造成的工程价款损失。</w:t>
      </w:r>
      <w:bookmarkEnd w:id="221"/>
      <w:bookmarkEnd w:id="222"/>
      <w:bookmarkEnd w:id="223"/>
      <w:bookmarkEnd w:id="224"/>
      <w:bookmarkEnd w:id="225"/>
      <w:bookmarkEnd w:id="226"/>
      <w:bookmarkEnd w:id="227"/>
      <w:bookmarkEnd w:id="228"/>
      <w:bookmarkEnd w:id="229"/>
      <w:bookmarkEnd w:id="230"/>
      <w:bookmarkEnd w:id="231"/>
    </w:p>
    <w:bookmarkEnd w:id="39"/>
    <w:bookmarkEnd w:id="40"/>
    <w:bookmarkEnd w:id="41"/>
    <w:p w14:paraId="7E61A4AA">
      <w:pPr>
        <w:snapToGrid w:val="0"/>
        <w:spacing w:line="360" w:lineRule="exact"/>
        <w:ind w:firstLine="420" w:firstLineChars="200"/>
        <w:rPr>
          <w:rFonts w:hint="eastAsia" w:ascii="宋体" w:hAnsi="宋体"/>
          <w:sz w:val="21"/>
          <w:szCs w:val="21"/>
        </w:rPr>
      </w:pPr>
      <w:bookmarkStart w:id="232" w:name="_Toc530729916"/>
      <w:bookmarkStart w:id="233" w:name="_Toc529977823"/>
      <w:bookmarkStart w:id="234" w:name="_Toc529630685"/>
      <w:bookmarkStart w:id="235" w:name="_Toc27576501"/>
      <w:bookmarkStart w:id="236" w:name="_Toc529630846"/>
      <w:bookmarkStart w:id="237" w:name="_Toc529882204"/>
      <w:bookmarkStart w:id="238" w:name="_Toc522970375"/>
      <w:bookmarkStart w:id="239" w:name="_Toc531013069"/>
      <w:bookmarkStart w:id="240" w:name="_Toc525977338"/>
      <w:r>
        <w:rPr>
          <w:rFonts w:hint="eastAsia" w:ascii="宋体" w:hAnsi="宋体"/>
          <w:sz w:val="21"/>
          <w:szCs w:val="21"/>
        </w:rPr>
        <w:t>21.2 工程结算以有资质的审计单位的审定价为准。</w:t>
      </w:r>
      <w:bookmarkEnd w:id="232"/>
      <w:bookmarkEnd w:id="233"/>
      <w:bookmarkEnd w:id="234"/>
      <w:bookmarkEnd w:id="235"/>
      <w:bookmarkEnd w:id="236"/>
      <w:bookmarkEnd w:id="237"/>
      <w:bookmarkEnd w:id="238"/>
      <w:bookmarkEnd w:id="239"/>
      <w:bookmarkEnd w:id="240"/>
    </w:p>
    <w:p w14:paraId="0B2FAC67">
      <w:pPr>
        <w:snapToGrid w:val="0"/>
        <w:spacing w:line="360" w:lineRule="exact"/>
        <w:rPr>
          <w:rFonts w:ascii="宋体" w:hAnsi="宋体"/>
          <w:color w:val="FF0000"/>
          <w:sz w:val="21"/>
          <w:szCs w:val="21"/>
        </w:rPr>
      </w:pPr>
    </w:p>
    <w:p w14:paraId="00A75A61">
      <w:pPr>
        <w:snapToGrid w:val="0"/>
        <w:spacing w:line="360" w:lineRule="exact"/>
        <w:rPr>
          <w:rFonts w:ascii="宋体" w:hAnsi="宋体"/>
          <w:sz w:val="21"/>
          <w:szCs w:val="21"/>
        </w:rPr>
      </w:pPr>
      <w:r>
        <w:rPr>
          <w:rFonts w:hint="eastAsia" w:ascii="宋体" w:hAnsi="宋体"/>
          <w:sz w:val="21"/>
          <w:szCs w:val="21"/>
        </w:rPr>
        <w:t>发包人：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r>
        <w:rPr>
          <w:rFonts w:hint="eastAsia" w:ascii="宋体" w:hAnsi="宋体"/>
          <w:sz w:val="21"/>
          <w:szCs w:val="21"/>
        </w:rPr>
        <w:t>　　　承包人：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p>
    <w:p w14:paraId="7CFE1810">
      <w:pPr>
        <w:snapToGrid w:val="0"/>
        <w:spacing w:line="360" w:lineRule="exact"/>
        <w:rPr>
          <w:rFonts w:ascii="宋体" w:hAnsi="宋体"/>
          <w:sz w:val="21"/>
          <w:szCs w:val="21"/>
        </w:rPr>
      </w:pPr>
    </w:p>
    <w:p w14:paraId="07F7EE75">
      <w:pPr>
        <w:snapToGrid w:val="0"/>
        <w:spacing w:line="360" w:lineRule="exact"/>
        <w:rPr>
          <w:rFonts w:ascii="宋体" w:hAnsi="宋体"/>
          <w:sz w:val="21"/>
          <w:szCs w:val="21"/>
        </w:rPr>
      </w:pPr>
      <w:r>
        <w:rPr>
          <w:rFonts w:hint="eastAsia" w:ascii="宋体" w:hAnsi="宋体"/>
          <w:sz w:val="21"/>
          <w:szCs w:val="21"/>
        </w:rPr>
        <w:t>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r>
        <w:rPr>
          <w:rFonts w:hint="eastAsia" w:ascii="宋体" w:hAnsi="宋体"/>
          <w:sz w:val="21"/>
          <w:szCs w:val="21"/>
        </w:rPr>
        <w:t>　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p>
    <w:p w14:paraId="56D53EA4">
      <w:pPr>
        <w:snapToGrid w:val="0"/>
        <w:spacing w:line="360" w:lineRule="exact"/>
        <w:rPr>
          <w:rFonts w:ascii="宋体" w:hAnsi="宋体"/>
          <w:sz w:val="21"/>
          <w:szCs w:val="21"/>
        </w:rPr>
      </w:pPr>
      <w:r>
        <w:rPr>
          <w:rFonts w:hint="eastAsia" w:ascii="宋体" w:hAnsi="宋体"/>
          <w:sz w:val="21"/>
          <w:szCs w:val="21"/>
        </w:rPr>
        <w:t>　　　　</w:t>
      </w:r>
    </w:p>
    <w:p w14:paraId="1AA622C7">
      <w:pPr>
        <w:snapToGrid w:val="0"/>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              </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　　　　　　</w:t>
      </w:r>
      <w:r>
        <w:rPr>
          <w:rFonts w:ascii="宋体" w:hAnsi="宋体"/>
          <w:sz w:val="21"/>
          <w:szCs w:val="21"/>
        </w:rPr>
        <w:t xml:space="preserve">      </w:t>
      </w: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68D33747">
      <w:pPr>
        <w:snapToGrid w:val="0"/>
        <w:spacing w:line="360" w:lineRule="auto"/>
        <w:jc w:val="both"/>
        <w:outlineLvl w:val="0"/>
        <w:rPr>
          <w:rFonts w:hint="eastAsia" w:ascii="宋体" w:hAnsi="宋体"/>
          <w:b/>
          <w:sz w:val="21"/>
          <w:szCs w:val="21"/>
        </w:rPr>
      </w:pPr>
      <w:bookmarkStart w:id="241" w:name="_Toc16439"/>
      <w:bookmarkStart w:id="242" w:name="_Toc18051"/>
      <w:bookmarkStart w:id="243" w:name="_Toc9688"/>
      <w:bookmarkStart w:id="244" w:name="_Toc496171409"/>
      <w:bookmarkStart w:id="245" w:name="_Toc27651"/>
    </w:p>
    <w:p w14:paraId="0D9A9AED">
      <w:pPr>
        <w:snapToGrid w:val="0"/>
        <w:spacing w:line="360" w:lineRule="auto"/>
        <w:jc w:val="center"/>
        <w:outlineLvl w:val="0"/>
        <w:rPr>
          <w:rFonts w:hint="eastAsia" w:ascii="宋体" w:hAnsi="宋体"/>
          <w:b/>
          <w:sz w:val="21"/>
          <w:szCs w:val="21"/>
        </w:rPr>
      </w:pPr>
    </w:p>
    <w:p w14:paraId="51237287">
      <w:pPr>
        <w:snapToGrid w:val="0"/>
        <w:spacing w:line="360" w:lineRule="auto"/>
        <w:jc w:val="center"/>
        <w:outlineLvl w:val="0"/>
        <w:rPr>
          <w:rFonts w:ascii="宋体" w:hAnsi="宋体"/>
          <w:b/>
          <w:sz w:val="21"/>
          <w:szCs w:val="21"/>
        </w:rPr>
      </w:pPr>
      <w:r>
        <w:rPr>
          <w:rFonts w:hint="eastAsia" w:ascii="宋体" w:hAnsi="宋体"/>
          <w:b/>
          <w:sz w:val="21"/>
          <w:szCs w:val="21"/>
        </w:rPr>
        <w:t>第</w:t>
      </w:r>
      <w:r>
        <w:rPr>
          <w:rFonts w:ascii="宋体" w:hAnsi="宋体"/>
          <w:b/>
          <w:sz w:val="21"/>
          <w:szCs w:val="21"/>
        </w:rPr>
        <w:t>3</w:t>
      </w:r>
      <w:r>
        <w:rPr>
          <w:rFonts w:hint="eastAsia" w:ascii="宋体" w:hAnsi="宋体"/>
          <w:b/>
          <w:sz w:val="21"/>
          <w:szCs w:val="21"/>
        </w:rPr>
        <w:t>节　合同附件格式</w:t>
      </w:r>
      <w:bookmarkEnd w:id="29"/>
      <w:bookmarkEnd w:id="30"/>
      <w:bookmarkEnd w:id="241"/>
      <w:bookmarkEnd w:id="242"/>
      <w:bookmarkEnd w:id="243"/>
      <w:bookmarkEnd w:id="244"/>
      <w:bookmarkEnd w:id="245"/>
    </w:p>
    <w:p w14:paraId="61933734">
      <w:pPr>
        <w:snapToGrid w:val="0"/>
        <w:spacing w:line="360" w:lineRule="auto"/>
        <w:rPr>
          <w:rFonts w:ascii="宋体" w:hAnsi="宋体"/>
          <w:sz w:val="21"/>
          <w:szCs w:val="21"/>
        </w:rPr>
      </w:pPr>
      <w:r>
        <w:rPr>
          <w:rFonts w:hint="eastAsia" w:ascii="宋体" w:hAnsi="宋体"/>
          <w:sz w:val="21"/>
          <w:szCs w:val="21"/>
        </w:rPr>
        <w:t>附件一：</w:t>
      </w:r>
    </w:p>
    <w:p w14:paraId="4E97D92C">
      <w:pPr>
        <w:snapToGrid w:val="0"/>
        <w:spacing w:line="360" w:lineRule="auto"/>
        <w:rPr>
          <w:rFonts w:ascii="宋体" w:hAnsi="宋体"/>
          <w:sz w:val="21"/>
          <w:szCs w:val="21"/>
        </w:rPr>
      </w:pPr>
    </w:p>
    <w:p w14:paraId="5B319136">
      <w:pPr>
        <w:snapToGrid w:val="0"/>
        <w:spacing w:line="360" w:lineRule="auto"/>
        <w:jc w:val="center"/>
        <w:rPr>
          <w:rFonts w:ascii="宋体" w:hAnsi="宋体"/>
          <w:b/>
          <w:sz w:val="21"/>
          <w:szCs w:val="21"/>
        </w:rPr>
      </w:pPr>
      <w:bookmarkStart w:id="246" w:name="第04章合同条款及格式03附件01"/>
      <w:bookmarkEnd w:id="246"/>
      <w:r>
        <w:rPr>
          <w:rFonts w:hint="eastAsia" w:ascii="宋体" w:hAnsi="宋体"/>
          <w:b/>
          <w:sz w:val="21"/>
          <w:szCs w:val="21"/>
        </w:rPr>
        <w:t>合同协议书</w:t>
      </w:r>
    </w:p>
    <w:p w14:paraId="0414EE8A">
      <w:pPr>
        <w:snapToGrid w:val="0"/>
        <w:spacing w:line="360" w:lineRule="auto"/>
        <w:rPr>
          <w:rFonts w:ascii="宋体" w:hAnsi="宋体"/>
          <w:sz w:val="21"/>
          <w:szCs w:val="21"/>
        </w:rPr>
      </w:pPr>
    </w:p>
    <w:p w14:paraId="711F63FC">
      <w:pPr>
        <w:snapToGrid w:val="0"/>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发包人名称，以下简称“发包人”</w:t>
      </w:r>
      <w:r>
        <w:rPr>
          <w:rFonts w:ascii="宋体" w:hAnsi="宋体"/>
          <w:sz w:val="21"/>
          <w:szCs w:val="21"/>
        </w:rPr>
        <w:t>)</w:t>
      </w:r>
      <w:r>
        <w:rPr>
          <w:rFonts w:hint="eastAsia" w:ascii="宋体" w:hAnsi="宋体"/>
          <w:sz w:val="21"/>
          <w:szCs w:val="21"/>
        </w:rPr>
        <w:t>为实施</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项目名称</w:t>
      </w:r>
      <w:r>
        <w:rPr>
          <w:rFonts w:ascii="宋体" w:hAnsi="宋体"/>
          <w:sz w:val="21"/>
          <w:szCs w:val="21"/>
        </w:rPr>
        <w:t>)</w:t>
      </w:r>
      <w:r>
        <w:rPr>
          <w:rFonts w:hint="eastAsia" w:ascii="宋体" w:hAnsi="宋体"/>
          <w:sz w:val="21"/>
          <w:szCs w:val="21"/>
        </w:rPr>
        <w:t>，已接受</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承包人名称，以下简称“承包人”</w:t>
      </w:r>
      <w:r>
        <w:rPr>
          <w:rFonts w:ascii="宋体" w:hAnsi="宋体"/>
          <w:sz w:val="21"/>
          <w:szCs w:val="21"/>
        </w:rPr>
        <w:t>)</w:t>
      </w:r>
      <w:r>
        <w:rPr>
          <w:rFonts w:hint="eastAsia" w:ascii="宋体" w:hAnsi="宋体"/>
          <w:sz w:val="21"/>
          <w:szCs w:val="21"/>
          <w:u w:val="single"/>
        </w:rPr>
        <w:t>　　　　</w:t>
      </w:r>
      <w:r>
        <w:rPr>
          <w:rFonts w:hint="eastAsia" w:ascii="宋体" w:hAnsi="宋体"/>
          <w:sz w:val="21"/>
          <w:szCs w:val="21"/>
        </w:rPr>
        <w:t>对</w:t>
      </w:r>
      <w:r>
        <w:rPr>
          <w:rFonts w:ascii="宋体" w:hAnsi="宋体"/>
          <w:sz w:val="21"/>
          <w:szCs w:val="21"/>
        </w:rPr>
        <w:t>(</w:t>
      </w:r>
      <w:r>
        <w:rPr>
          <w:rFonts w:hint="eastAsia" w:ascii="宋体" w:hAnsi="宋体"/>
          <w:sz w:val="21"/>
          <w:szCs w:val="21"/>
        </w:rPr>
        <w:t>项目名称</w:t>
      </w:r>
      <w:r>
        <w:rPr>
          <w:rFonts w:ascii="宋体" w:hAnsi="宋体"/>
          <w:sz w:val="21"/>
          <w:szCs w:val="21"/>
        </w:rPr>
        <w:t>)</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标段名称</w:t>
      </w:r>
      <w:r>
        <w:rPr>
          <w:rFonts w:ascii="宋体" w:hAnsi="宋体"/>
          <w:sz w:val="21"/>
          <w:szCs w:val="21"/>
        </w:rPr>
        <w:t>)</w:t>
      </w:r>
      <w:r>
        <w:rPr>
          <w:rFonts w:hint="eastAsia" w:ascii="宋体" w:hAnsi="宋体"/>
          <w:sz w:val="21"/>
          <w:szCs w:val="21"/>
        </w:rPr>
        <w:t>的投标，并确定其为中标人。发包人和承包人共同达成如下协议。</w:t>
      </w:r>
      <w:r>
        <w:rPr>
          <w:rFonts w:ascii="宋体" w:hAnsi="宋体"/>
          <w:sz w:val="21"/>
          <w:szCs w:val="21"/>
        </w:rPr>
        <w:t xml:space="preserve"> </w:t>
      </w:r>
    </w:p>
    <w:p w14:paraId="429A2CB6">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本协议书与下列文件一起构成合同文件：</w:t>
      </w:r>
    </w:p>
    <w:p w14:paraId="55E34FE8">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中标通知书；</w:t>
      </w:r>
    </w:p>
    <w:p w14:paraId="52506A67">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投标函及投标函附录；</w:t>
      </w:r>
    </w:p>
    <w:p w14:paraId="68B2E9D2">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(3)</w:t>
      </w:r>
      <w:r>
        <w:rPr>
          <w:rFonts w:hint="eastAsia" w:ascii="宋体" w:hAnsi="宋体"/>
          <w:sz w:val="21"/>
          <w:szCs w:val="21"/>
        </w:rPr>
        <w:t>专用合同条款；</w:t>
      </w:r>
    </w:p>
    <w:p w14:paraId="544CFAA1">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(4)</w:t>
      </w:r>
      <w:r>
        <w:rPr>
          <w:rFonts w:hint="eastAsia" w:ascii="宋体" w:hAnsi="宋体"/>
          <w:sz w:val="21"/>
          <w:szCs w:val="21"/>
        </w:rPr>
        <w:t>通用合同条款；</w:t>
      </w:r>
    </w:p>
    <w:p w14:paraId="6B67E10F">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(5)</w:t>
      </w:r>
      <w:r>
        <w:rPr>
          <w:rFonts w:hint="eastAsia" w:ascii="宋体" w:hAnsi="宋体"/>
          <w:sz w:val="21"/>
          <w:szCs w:val="21"/>
        </w:rPr>
        <w:t>技术标准和要求</w:t>
      </w:r>
      <w:r>
        <w:rPr>
          <w:rFonts w:ascii="宋体" w:hAnsi="宋体"/>
          <w:sz w:val="21"/>
          <w:szCs w:val="21"/>
        </w:rPr>
        <w:t>(</w:t>
      </w:r>
      <w:r>
        <w:rPr>
          <w:rFonts w:hint="eastAsia" w:ascii="宋体" w:hAnsi="宋体"/>
          <w:sz w:val="21"/>
          <w:szCs w:val="21"/>
        </w:rPr>
        <w:t>合同技术条款</w:t>
      </w:r>
      <w:r>
        <w:rPr>
          <w:rFonts w:ascii="宋体" w:hAnsi="宋体"/>
          <w:sz w:val="21"/>
          <w:szCs w:val="21"/>
        </w:rPr>
        <w:t>)</w:t>
      </w:r>
      <w:r>
        <w:rPr>
          <w:rFonts w:hint="eastAsia" w:ascii="宋体" w:hAnsi="宋体"/>
          <w:sz w:val="21"/>
          <w:szCs w:val="21"/>
        </w:rPr>
        <w:t>；</w:t>
      </w:r>
    </w:p>
    <w:p w14:paraId="345A3CB5">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(6)</w:t>
      </w:r>
      <w:r>
        <w:rPr>
          <w:rFonts w:hint="eastAsia" w:ascii="宋体" w:hAnsi="宋体"/>
          <w:sz w:val="21"/>
          <w:szCs w:val="21"/>
        </w:rPr>
        <w:t>图纸；</w:t>
      </w:r>
    </w:p>
    <w:p w14:paraId="6B5843FD">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(7)</w:t>
      </w:r>
      <w:r>
        <w:rPr>
          <w:rFonts w:hint="eastAsia" w:ascii="宋体" w:hAnsi="宋体"/>
          <w:sz w:val="21"/>
          <w:szCs w:val="21"/>
        </w:rPr>
        <w:t>投标报价；</w:t>
      </w:r>
    </w:p>
    <w:p w14:paraId="330409ED">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(8)</w:t>
      </w:r>
      <w:r>
        <w:rPr>
          <w:rFonts w:hint="eastAsia" w:ascii="宋体" w:hAnsi="宋体"/>
          <w:sz w:val="21"/>
          <w:szCs w:val="21"/>
        </w:rPr>
        <w:t>其它合同文件。</w:t>
      </w:r>
    </w:p>
    <w:p w14:paraId="5FE491E3">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上述文件互相补充和解释，如有不明确或不一致之处，以合同约定次序在先者为准。</w:t>
      </w:r>
    </w:p>
    <w:p w14:paraId="363BA530">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3.</w:t>
      </w:r>
      <w:r>
        <w:rPr>
          <w:rFonts w:hint="eastAsia" w:ascii="宋体" w:hAnsi="宋体"/>
          <w:sz w:val="21"/>
          <w:szCs w:val="21"/>
        </w:rPr>
        <w:t>签约合同价：人民币</w:t>
      </w:r>
      <w:r>
        <w:rPr>
          <w:rFonts w:ascii="宋体" w:hAnsi="宋体"/>
          <w:sz w:val="21"/>
          <w:szCs w:val="21"/>
        </w:rPr>
        <w:t>(</w:t>
      </w:r>
      <w:r>
        <w:rPr>
          <w:rFonts w:hint="eastAsia" w:ascii="宋体" w:hAnsi="宋体"/>
          <w:sz w:val="21"/>
          <w:szCs w:val="21"/>
        </w:rPr>
        <w:t>大写</w:t>
      </w:r>
      <w:r>
        <w:rPr>
          <w:rFonts w:ascii="宋体" w:hAnsi="宋体"/>
          <w:sz w:val="21"/>
          <w:szCs w:val="21"/>
        </w:rPr>
        <w:t>)</w:t>
      </w:r>
      <w:r>
        <w:rPr>
          <w:rFonts w:hint="eastAsia" w:ascii="宋体" w:hAnsi="宋体"/>
          <w:sz w:val="21"/>
          <w:szCs w:val="21"/>
          <w:u w:val="single"/>
        </w:rPr>
        <w:t>　　　　　</w:t>
      </w:r>
      <w:r>
        <w:rPr>
          <w:rFonts w:hint="eastAsia" w:ascii="宋体" w:hAnsi="宋体"/>
          <w:sz w:val="21"/>
          <w:szCs w:val="21"/>
        </w:rPr>
        <w:t>元</w:t>
      </w:r>
      <w:r>
        <w:rPr>
          <w:rFonts w:ascii="宋体" w:hAnsi="宋体"/>
          <w:sz w:val="21"/>
          <w:szCs w:val="21"/>
        </w:rPr>
        <w:t>(</w:t>
      </w:r>
      <w:r>
        <w:rPr>
          <w:rFonts w:hint="eastAsia" w:ascii="宋体" w:hAnsi="宋体"/>
          <w:sz w:val="21"/>
          <w:szCs w:val="21"/>
        </w:rPr>
        <w:t>￥</w:t>
      </w:r>
      <w:r>
        <w:rPr>
          <w:rFonts w:hint="eastAsia" w:ascii="宋体" w:hAnsi="宋体"/>
          <w:sz w:val="21"/>
          <w:szCs w:val="21"/>
          <w:u w:val="single"/>
        </w:rPr>
        <w:t>　　　　　</w:t>
      </w:r>
      <w:r>
        <w:rPr>
          <w:rFonts w:hint="eastAsia" w:ascii="宋体" w:hAnsi="宋体"/>
          <w:sz w:val="21"/>
          <w:szCs w:val="21"/>
        </w:rPr>
        <w:t>元</w:t>
      </w:r>
      <w:r>
        <w:rPr>
          <w:rFonts w:ascii="宋体" w:hAnsi="宋体"/>
          <w:sz w:val="21"/>
          <w:szCs w:val="21"/>
        </w:rPr>
        <w:t>)</w:t>
      </w:r>
      <w:r>
        <w:rPr>
          <w:rFonts w:hint="eastAsia" w:ascii="宋体" w:hAnsi="宋体"/>
          <w:sz w:val="21"/>
          <w:szCs w:val="21"/>
        </w:rPr>
        <w:t>,按全费用固定综合单价方式计。</w:t>
      </w:r>
    </w:p>
    <w:p w14:paraId="46C727BD">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4.</w:t>
      </w:r>
      <w:r>
        <w:rPr>
          <w:rFonts w:hint="eastAsia" w:ascii="宋体" w:hAnsi="宋体"/>
          <w:sz w:val="21"/>
          <w:szCs w:val="21"/>
        </w:rPr>
        <w:t>承包人建造师：</w:t>
      </w:r>
      <w:r>
        <w:rPr>
          <w:rFonts w:hint="eastAsia" w:ascii="宋体" w:hAnsi="宋体"/>
          <w:sz w:val="21"/>
          <w:szCs w:val="21"/>
          <w:u w:val="single"/>
        </w:rPr>
        <w:t>　　　　</w:t>
      </w:r>
      <w:r>
        <w:rPr>
          <w:rFonts w:hint="eastAsia" w:ascii="宋体" w:hAnsi="宋体"/>
          <w:sz w:val="21"/>
          <w:szCs w:val="21"/>
        </w:rPr>
        <w:t>。</w:t>
      </w:r>
    </w:p>
    <w:p w14:paraId="75B615A6">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5.</w:t>
      </w:r>
      <w:r>
        <w:rPr>
          <w:rFonts w:hint="eastAsia" w:ascii="宋体" w:hAnsi="宋体"/>
          <w:sz w:val="21"/>
          <w:szCs w:val="21"/>
        </w:rPr>
        <w:t>工程质量符合</w:t>
      </w:r>
      <w:r>
        <w:rPr>
          <w:rFonts w:hint="eastAsia" w:ascii="宋体" w:hAnsi="宋体"/>
          <w:sz w:val="21"/>
          <w:szCs w:val="21"/>
          <w:u w:val="single"/>
        </w:rPr>
        <w:t>　　　　</w:t>
      </w:r>
      <w:r>
        <w:rPr>
          <w:rFonts w:hint="eastAsia" w:ascii="宋体" w:hAnsi="宋体"/>
          <w:sz w:val="21"/>
          <w:szCs w:val="21"/>
        </w:rPr>
        <w:t>标准。</w:t>
      </w:r>
    </w:p>
    <w:p w14:paraId="39715BCC">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6.</w:t>
      </w:r>
      <w:r>
        <w:rPr>
          <w:rFonts w:hint="eastAsia" w:ascii="宋体" w:hAnsi="宋体"/>
          <w:sz w:val="21"/>
          <w:szCs w:val="21"/>
        </w:rPr>
        <w:t>承包人承诺按合同约定承担工程的实施、完成及缺陷修复。</w:t>
      </w:r>
    </w:p>
    <w:p w14:paraId="0C48BDE6">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7.</w:t>
      </w:r>
      <w:r>
        <w:rPr>
          <w:rFonts w:hint="eastAsia" w:ascii="宋体" w:hAnsi="宋体"/>
          <w:sz w:val="21"/>
          <w:szCs w:val="21"/>
        </w:rPr>
        <w:t>发包人承诺按合同约定的条件、时间和方式向承包人支付合同价款。</w:t>
      </w:r>
    </w:p>
    <w:p w14:paraId="7D8CA912">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8.</w:t>
      </w:r>
      <w:r>
        <w:rPr>
          <w:rFonts w:hint="eastAsia" w:ascii="宋体" w:hAnsi="宋体"/>
          <w:sz w:val="21"/>
          <w:szCs w:val="21"/>
        </w:rPr>
        <w:t>承包人承诺执行监理人开工通知，计划工期为</w:t>
      </w:r>
      <w:r>
        <w:rPr>
          <w:rFonts w:hint="eastAsia" w:ascii="宋体" w:hAnsi="宋体"/>
          <w:sz w:val="21"/>
          <w:szCs w:val="21"/>
          <w:u w:val="single"/>
        </w:rPr>
        <w:t>　　　</w:t>
      </w:r>
      <w:r>
        <w:rPr>
          <w:rFonts w:hint="eastAsia" w:ascii="宋体" w:hAnsi="宋体"/>
          <w:sz w:val="21"/>
          <w:szCs w:val="21"/>
        </w:rPr>
        <w:t>天。</w:t>
      </w:r>
    </w:p>
    <w:p w14:paraId="7D90B5E2">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9.</w:t>
      </w:r>
      <w:r>
        <w:rPr>
          <w:rFonts w:hint="eastAsia" w:ascii="宋体" w:hAnsi="宋体"/>
          <w:sz w:val="21"/>
          <w:szCs w:val="21"/>
        </w:rPr>
        <w:t>本协议书一式</w:t>
      </w:r>
      <w:r>
        <w:rPr>
          <w:rFonts w:hint="eastAsia" w:ascii="宋体" w:hAnsi="宋体"/>
          <w:sz w:val="21"/>
          <w:szCs w:val="21"/>
          <w:u w:val="single"/>
        </w:rPr>
        <w:t>　　</w:t>
      </w:r>
      <w:r>
        <w:rPr>
          <w:rFonts w:hint="eastAsia" w:ascii="宋体" w:hAnsi="宋体"/>
          <w:sz w:val="21"/>
          <w:szCs w:val="21"/>
        </w:rPr>
        <w:t>份，合同双方各执</w:t>
      </w:r>
      <w:r>
        <w:rPr>
          <w:rFonts w:ascii="宋体" w:hAnsi="宋体"/>
          <w:sz w:val="21"/>
          <w:szCs w:val="21"/>
          <w:u w:val="single"/>
        </w:rPr>
        <w:t xml:space="preserve">    </w:t>
      </w:r>
      <w:r>
        <w:rPr>
          <w:rFonts w:hint="eastAsia" w:ascii="宋体" w:hAnsi="宋体"/>
          <w:sz w:val="21"/>
          <w:szCs w:val="21"/>
        </w:rPr>
        <w:t>份。</w:t>
      </w:r>
    </w:p>
    <w:p w14:paraId="18FC2407">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10.</w:t>
      </w:r>
      <w:r>
        <w:rPr>
          <w:rFonts w:hint="eastAsia" w:ascii="宋体" w:hAnsi="宋体"/>
          <w:sz w:val="21"/>
          <w:szCs w:val="21"/>
        </w:rPr>
        <w:t>合同未尽事宜，双方另行签订补充协议。补充协议是合同的组成部分。</w:t>
      </w:r>
    </w:p>
    <w:p w14:paraId="6C507C45">
      <w:pPr>
        <w:snapToGrid w:val="0"/>
        <w:spacing w:line="360" w:lineRule="auto"/>
        <w:rPr>
          <w:rFonts w:ascii="宋体" w:hAnsi="宋体"/>
          <w:sz w:val="21"/>
          <w:szCs w:val="21"/>
        </w:rPr>
      </w:pPr>
    </w:p>
    <w:p w14:paraId="72A59694">
      <w:pPr>
        <w:snapToGrid w:val="0"/>
        <w:spacing w:line="360" w:lineRule="auto"/>
        <w:rPr>
          <w:rFonts w:ascii="宋体" w:hAnsi="宋体"/>
          <w:sz w:val="21"/>
          <w:szCs w:val="21"/>
        </w:rPr>
      </w:pPr>
      <w:r>
        <w:rPr>
          <w:rFonts w:hint="eastAsia" w:ascii="宋体" w:hAnsi="宋体"/>
          <w:sz w:val="21"/>
          <w:szCs w:val="21"/>
        </w:rPr>
        <w:t>发包人：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r>
        <w:rPr>
          <w:rFonts w:hint="eastAsia" w:ascii="宋体" w:hAnsi="宋体"/>
          <w:sz w:val="21"/>
          <w:szCs w:val="21"/>
        </w:rPr>
        <w:t>　　　承包人：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p>
    <w:p w14:paraId="672923BB">
      <w:pPr>
        <w:snapToGrid w:val="0"/>
        <w:spacing w:line="360" w:lineRule="auto"/>
        <w:rPr>
          <w:rFonts w:ascii="宋体" w:hAnsi="宋体"/>
          <w:sz w:val="21"/>
          <w:szCs w:val="21"/>
        </w:rPr>
      </w:pPr>
    </w:p>
    <w:p w14:paraId="2D86AF24">
      <w:pPr>
        <w:snapToGrid w:val="0"/>
        <w:spacing w:line="360" w:lineRule="auto"/>
        <w:rPr>
          <w:rFonts w:ascii="宋体" w:hAnsi="宋体"/>
          <w:sz w:val="21"/>
          <w:szCs w:val="21"/>
        </w:rPr>
      </w:pPr>
      <w:r>
        <w:rPr>
          <w:rFonts w:hint="eastAsia" w:ascii="宋体" w:hAnsi="宋体"/>
          <w:sz w:val="21"/>
          <w:szCs w:val="21"/>
        </w:rPr>
        <w:t>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r>
        <w:rPr>
          <w:rFonts w:hint="eastAsia" w:ascii="宋体" w:hAnsi="宋体"/>
          <w:sz w:val="21"/>
          <w:szCs w:val="21"/>
        </w:rPr>
        <w:t>　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p>
    <w:p w14:paraId="13074D00">
      <w:pPr>
        <w:snapToGrid w:val="0"/>
        <w:spacing w:line="360" w:lineRule="auto"/>
        <w:rPr>
          <w:rFonts w:ascii="宋体" w:hAnsi="宋体"/>
          <w:sz w:val="21"/>
          <w:szCs w:val="21"/>
        </w:rPr>
      </w:pPr>
      <w:r>
        <w:rPr>
          <w:rFonts w:hint="eastAsia" w:ascii="宋体" w:hAnsi="宋体"/>
          <w:sz w:val="21"/>
          <w:szCs w:val="21"/>
        </w:rPr>
        <w:t>　　　　</w:t>
      </w:r>
    </w:p>
    <w:p w14:paraId="7574A64A">
      <w:pPr>
        <w:snapToGrid w:val="0"/>
        <w:spacing w:line="360" w:lineRule="auto"/>
        <w:rPr>
          <w:rFonts w:hint="eastAsia" w:ascii="宋体" w:hAnsi="宋体"/>
          <w:b/>
          <w:color w:val="000000"/>
          <w:sz w:val="21"/>
          <w:szCs w:val="21"/>
        </w:rPr>
      </w:pPr>
      <w:r>
        <w:rPr>
          <w:rFonts w:hint="eastAsia" w:ascii="宋体" w:hAnsi="宋体"/>
          <w:sz w:val="21"/>
          <w:szCs w:val="21"/>
        </w:rPr>
        <w:t>　　</w:t>
      </w:r>
      <w:r>
        <w:rPr>
          <w:rFonts w:ascii="宋体" w:hAnsi="宋体"/>
          <w:sz w:val="21"/>
          <w:szCs w:val="21"/>
        </w:rPr>
        <w:t xml:space="preserve">              </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　　　　　　</w:t>
      </w:r>
      <w:r>
        <w:rPr>
          <w:rFonts w:ascii="宋体" w:hAnsi="宋体"/>
          <w:sz w:val="21"/>
          <w:szCs w:val="21"/>
        </w:rPr>
        <w:t xml:space="preserve">      </w:t>
      </w: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2661F05">
      <w:pPr>
        <w:snapToGrid w:val="0"/>
        <w:spacing w:line="340" w:lineRule="exact"/>
        <w:jc w:val="left"/>
        <w:rPr>
          <w:rFonts w:hint="eastAsia" w:ascii="宋体" w:hAnsi="宋体"/>
          <w:b/>
          <w:color w:val="000000"/>
          <w:sz w:val="21"/>
          <w:szCs w:val="21"/>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二：</w:t>
      </w:r>
    </w:p>
    <w:p w14:paraId="44599FC5">
      <w:pPr>
        <w:snapToGrid w:val="0"/>
        <w:spacing w:line="340" w:lineRule="exact"/>
        <w:jc w:val="center"/>
        <w:rPr>
          <w:rFonts w:hint="eastAsia" w:ascii="宋体" w:hAnsi="宋体"/>
          <w:b/>
          <w:color w:val="000000"/>
          <w:sz w:val="21"/>
          <w:szCs w:val="21"/>
        </w:rPr>
      </w:pPr>
    </w:p>
    <w:p w14:paraId="05AF37D9">
      <w:pPr>
        <w:snapToGrid w:val="0"/>
        <w:spacing w:line="340" w:lineRule="exact"/>
        <w:jc w:val="center"/>
        <w:rPr>
          <w:rFonts w:ascii="宋体" w:hAnsi="宋体"/>
          <w:b/>
          <w:color w:val="000000"/>
          <w:sz w:val="21"/>
          <w:szCs w:val="21"/>
        </w:rPr>
      </w:pPr>
      <w:r>
        <w:rPr>
          <w:rFonts w:hint="eastAsia" w:ascii="宋体" w:hAnsi="宋体"/>
          <w:b/>
          <w:color w:val="000000"/>
          <w:sz w:val="21"/>
          <w:szCs w:val="21"/>
        </w:rPr>
        <w:t>工程质量保修书</w:t>
      </w:r>
    </w:p>
    <w:p w14:paraId="42E01A7D">
      <w:pPr>
        <w:snapToGrid w:val="0"/>
        <w:spacing w:line="340" w:lineRule="exact"/>
        <w:jc w:val="center"/>
        <w:rPr>
          <w:rFonts w:ascii="宋体" w:hAnsi="宋体"/>
          <w:b/>
          <w:color w:val="000000"/>
          <w:sz w:val="21"/>
          <w:szCs w:val="21"/>
        </w:rPr>
      </w:pPr>
    </w:p>
    <w:p w14:paraId="711BC8D9">
      <w:pPr>
        <w:snapToGrid w:val="0"/>
        <w:spacing w:line="340" w:lineRule="exact"/>
        <w:ind w:firstLine="480"/>
        <w:rPr>
          <w:rFonts w:ascii="宋体" w:hAnsi="宋体"/>
          <w:color w:val="000000"/>
          <w:sz w:val="21"/>
          <w:szCs w:val="21"/>
        </w:rPr>
      </w:pPr>
      <w:r>
        <w:rPr>
          <w:rFonts w:hint="eastAsia" w:ascii="宋体" w:hAnsi="宋体"/>
          <w:color w:val="000000"/>
          <w:sz w:val="21"/>
          <w:szCs w:val="21"/>
        </w:rPr>
        <w:t>发包人（全称）：</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14:paraId="7EB7CBD7">
      <w:pPr>
        <w:snapToGrid w:val="0"/>
        <w:spacing w:line="360" w:lineRule="auto"/>
        <w:ind w:firstLine="420" w:firstLineChars="200"/>
        <w:rPr>
          <w:rFonts w:hint="default" w:ascii="宋体" w:hAnsi="宋体" w:eastAsia="宋体"/>
          <w:color w:val="000000"/>
          <w:sz w:val="21"/>
          <w:szCs w:val="21"/>
          <w:u w:val="single"/>
          <w:lang w:val="en-US" w:eastAsia="zh-CN"/>
        </w:rPr>
      </w:pPr>
      <w:r>
        <w:rPr>
          <w:rFonts w:hint="eastAsia" w:ascii="宋体" w:hAnsi="宋体"/>
          <w:color w:val="000000"/>
          <w:sz w:val="21"/>
          <w:szCs w:val="21"/>
        </w:rPr>
        <w:t>承包人（全称）：</w:t>
      </w:r>
      <w:r>
        <w:rPr>
          <w:rFonts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p>
    <w:p w14:paraId="69FB5EF9">
      <w:pPr>
        <w:snapToGrid w:val="0"/>
        <w:spacing w:line="360" w:lineRule="auto"/>
        <w:jc w:val="center"/>
        <w:rPr>
          <w:rFonts w:ascii="宋体" w:hAnsi="宋体"/>
          <w:color w:val="000000"/>
          <w:sz w:val="21"/>
          <w:szCs w:val="21"/>
        </w:rPr>
      </w:pPr>
      <w:r>
        <w:rPr>
          <w:rFonts w:hint="eastAsia" w:ascii="宋体" w:hAnsi="宋体"/>
          <w:color w:val="000000"/>
          <w:sz w:val="21"/>
          <w:szCs w:val="21"/>
        </w:rPr>
        <w:t xml:space="preserve">    为保证</w:t>
      </w:r>
      <w:r>
        <w:rPr>
          <w:rFonts w:hint="eastAsia" w:ascii="宋体" w:hAnsi="宋体"/>
          <w:color w:val="000000"/>
          <w:sz w:val="21"/>
          <w:szCs w:val="21"/>
          <w:u w:val="single"/>
        </w:rPr>
        <w:t xml:space="preserve">               （</w:t>
      </w:r>
      <w:r>
        <w:rPr>
          <w:rFonts w:hint="eastAsia" w:ascii="宋体" w:hAnsi="宋体"/>
          <w:color w:val="000000"/>
          <w:sz w:val="21"/>
          <w:szCs w:val="21"/>
        </w:rPr>
        <w:t>工程名称）在合理使用期限内正常使用，发包人承包人协商一致签订工程质量保修书。承包人在质量保修期内按照有关管理规定及双方约定承担工程质量保修责任。</w:t>
      </w:r>
    </w:p>
    <w:p w14:paraId="699A0F6F">
      <w:pPr>
        <w:snapToGrid w:val="0"/>
        <w:spacing w:line="340" w:lineRule="exact"/>
        <w:rPr>
          <w:rFonts w:ascii="宋体" w:hAnsi="宋体"/>
          <w:color w:val="000000"/>
          <w:sz w:val="21"/>
          <w:szCs w:val="21"/>
        </w:rPr>
      </w:pPr>
      <w:r>
        <w:rPr>
          <w:rFonts w:hint="eastAsia" w:ascii="宋体" w:hAnsi="宋体"/>
          <w:color w:val="000000"/>
          <w:sz w:val="21"/>
          <w:szCs w:val="21"/>
        </w:rPr>
        <w:t xml:space="preserve">    一、工程质量保修范围和内容</w:t>
      </w:r>
    </w:p>
    <w:p w14:paraId="76ED53D6">
      <w:pPr>
        <w:snapToGrid w:val="0"/>
        <w:spacing w:line="340" w:lineRule="exact"/>
        <w:rPr>
          <w:rFonts w:ascii="宋体" w:hAnsi="宋体"/>
          <w:color w:val="000000"/>
          <w:sz w:val="21"/>
          <w:szCs w:val="21"/>
        </w:rPr>
      </w:pPr>
      <w:r>
        <w:rPr>
          <w:rFonts w:hint="eastAsia" w:ascii="宋体" w:hAnsi="宋体"/>
          <w:color w:val="000000"/>
          <w:sz w:val="21"/>
          <w:szCs w:val="21"/>
        </w:rPr>
        <w:t xml:space="preserve">    质量保修范围包括</w:t>
      </w:r>
      <w:r>
        <w:rPr>
          <w:rFonts w:hint="eastAsia" w:ascii="宋体" w:hAnsi="宋体"/>
          <w:sz w:val="21"/>
          <w:szCs w:val="21"/>
          <w:u w:val="single"/>
        </w:rPr>
        <w:t xml:space="preserve">                            </w:t>
      </w:r>
      <w:r>
        <w:rPr>
          <w:rFonts w:hint="eastAsia" w:ascii="宋体" w:hAnsi="宋体"/>
          <w:snapToGrid w:val="0"/>
          <w:color w:val="000000"/>
          <w:sz w:val="21"/>
          <w:szCs w:val="21"/>
        </w:rPr>
        <w:t>等</w:t>
      </w:r>
      <w:r>
        <w:rPr>
          <w:rFonts w:hint="eastAsia" w:ascii="宋体" w:hAnsi="宋体"/>
          <w:color w:val="000000"/>
          <w:sz w:val="21"/>
          <w:szCs w:val="21"/>
        </w:rPr>
        <w:t>工程，具体质量保修内容双方约定如下：</w:t>
      </w:r>
      <w:r>
        <w:rPr>
          <w:rFonts w:hint="eastAsia" w:ascii="宋体" w:hAnsi="宋体"/>
          <w:color w:val="000000"/>
          <w:sz w:val="21"/>
          <w:szCs w:val="21"/>
          <w:u w:val="single"/>
        </w:rPr>
        <w:t xml:space="preserve"> </w:t>
      </w:r>
      <w:r>
        <w:rPr>
          <w:rFonts w:hint="eastAsia" w:ascii="宋体" w:hAnsi="宋体"/>
          <w:b/>
          <w:color w:val="000000"/>
          <w:sz w:val="21"/>
          <w:szCs w:val="21"/>
          <w:u w:val="single"/>
        </w:rPr>
        <w:t>按现行国家有关法律、法规规定的承包人所有承包范围内项目工程质量缺陷。</w:t>
      </w:r>
      <w:r>
        <w:rPr>
          <w:rFonts w:hint="eastAsia" w:ascii="宋体" w:hAnsi="宋体"/>
          <w:color w:val="000000"/>
          <w:sz w:val="21"/>
          <w:szCs w:val="21"/>
          <w:u w:val="single"/>
        </w:rPr>
        <w:t xml:space="preserve">                                                                                                                         </w:t>
      </w:r>
    </w:p>
    <w:p w14:paraId="79E33F53">
      <w:pPr>
        <w:snapToGrid w:val="0"/>
        <w:spacing w:line="340" w:lineRule="exact"/>
        <w:rPr>
          <w:rFonts w:ascii="宋体" w:hAnsi="宋体"/>
          <w:color w:val="000000"/>
          <w:sz w:val="21"/>
          <w:szCs w:val="21"/>
        </w:rPr>
      </w:pPr>
      <w:r>
        <w:rPr>
          <w:rFonts w:hint="eastAsia" w:ascii="宋体" w:hAnsi="宋体"/>
          <w:color w:val="000000"/>
          <w:sz w:val="21"/>
          <w:szCs w:val="21"/>
        </w:rPr>
        <w:t xml:space="preserve">    二、质量保修期</w:t>
      </w:r>
    </w:p>
    <w:p w14:paraId="79DF9DC4">
      <w:pPr>
        <w:snapToGrid w:val="0"/>
        <w:spacing w:line="340" w:lineRule="exact"/>
        <w:rPr>
          <w:rFonts w:ascii="宋体" w:hAnsi="宋体"/>
          <w:color w:val="000000"/>
          <w:sz w:val="21"/>
          <w:szCs w:val="21"/>
        </w:rPr>
      </w:pPr>
      <w:r>
        <w:rPr>
          <w:rFonts w:hint="eastAsia" w:ascii="宋体" w:hAnsi="宋体"/>
          <w:color w:val="000000"/>
          <w:sz w:val="21"/>
          <w:szCs w:val="21"/>
        </w:rPr>
        <w:t xml:space="preserve">    质量保修期从工程实际竣工之日算起。分单项竣工验收的工程，按单项工程分别计算质量保修期。</w:t>
      </w:r>
    </w:p>
    <w:p w14:paraId="5D6C47DA">
      <w:pPr>
        <w:snapToGrid w:val="0"/>
        <w:spacing w:line="340" w:lineRule="exact"/>
        <w:rPr>
          <w:rFonts w:ascii="宋体" w:hAnsi="宋体"/>
          <w:color w:val="000000"/>
          <w:sz w:val="21"/>
          <w:szCs w:val="21"/>
        </w:rPr>
      </w:pPr>
      <w:r>
        <w:rPr>
          <w:rFonts w:hint="eastAsia" w:ascii="宋体" w:hAnsi="宋体"/>
          <w:color w:val="000000"/>
          <w:sz w:val="21"/>
          <w:szCs w:val="21"/>
        </w:rPr>
        <w:t xml:space="preserve">    双方根据国家有关规定，结合具体工程约定质量保修期如下。</w:t>
      </w:r>
    </w:p>
    <w:p w14:paraId="51E2113F">
      <w:pPr>
        <w:snapToGrid w:val="0"/>
        <w:spacing w:line="340" w:lineRule="exact"/>
        <w:ind w:left="840" w:hanging="840" w:hangingChars="400"/>
        <w:rPr>
          <w:rFonts w:ascii="宋体" w:hAnsi="宋体"/>
          <w:color w:val="000000"/>
          <w:sz w:val="21"/>
          <w:szCs w:val="21"/>
          <w:u w:val="single"/>
        </w:rPr>
      </w:pPr>
      <w:r>
        <w:rPr>
          <w:rFonts w:hint="eastAsia" w:ascii="宋体" w:hAnsi="宋体"/>
          <w:color w:val="000000"/>
          <w:sz w:val="21"/>
          <w:szCs w:val="21"/>
        </w:rPr>
        <w:t xml:space="preserve"> </w:t>
      </w:r>
      <w:r>
        <w:rPr>
          <w:rFonts w:hint="eastAsia" w:ascii="宋体" w:hAnsi="宋体"/>
          <w:color w:val="0000FF"/>
          <w:sz w:val="21"/>
          <w:szCs w:val="21"/>
        </w:rPr>
        <w:t xml:space="preserve">  </w:t>
      </w:r>
      <w:r>
        <w:rPr>
          <w:rFonts w:hint="eastAsia" w:ascii="宋体" w:hAnsi="宋体" w:eastAsia="宋体" w:cs="Times New Roman"/>
          <w:color w:val="000000"/>
          <w:sz w:val="21"/>
          <w:szCs w:val="21"/>
        </w:rPr>
        <w:t xml:space="preserve"> l、本工程质量保修期为</w:t>
      </w:r>
      <w:r>
        <w:rPr>
          <w:rFonts w:hint="eastAsia" w:ascii="宋体" w:hAnsi="宋体" w:eastAsia="宋体" w:cs="Times New Roman"/>
          <w:color w:val="000000"/>
          <w:sz w:val="21"/>
          <w:szCs w:val="21"/>
          <w:lang w:eastAsia="zh-CN"/>
        </w:rPr>
        <w:t xml:space="preserve">：竣工验收合格后一年 </w:t>
      </w:r>
      <w:r>
        <w:rPr>
          <w:rFonts w:hint="eastAsia" w:ascii="宋体" w:hAnsi="宋体" w:eastAsia="宋体" w:cs="Times New Roman"/>
          <w:color w:val="000000"/>
          <w:sz w:val="21"/>
          <w:szCs w:val="21"/>
        </w:rPr>
        <w:t>；</w:t>
      </w:r>
    </w:p>
    <w:p w14:paraId="463E3A83">
      <w:pPr>
        <w:snapToGrid w:val="0"/>
        <w:spacing w:line="340" w:lineRule="exact"/>
        <w:rPr>
          <w:rFonts w:ascii="宋体" w:hAnsi="宋体"/>
          <w:color w:val="000000"/>
          <w:sz w:val="21"/>
          <w:szCs w:val="21"/>
        </w:rPr>
      </w:pPr>
      <w:r>
        <w:rPr>
          <w:rFonts w:hint="eastAsia" w:ascii="宋体" w:hAnsi="宋体"/>
          <w:color w:val="000000"/>
          <w:sz w:val="21"/>
          <w:szCs w:val="21"/>
        </w:rPr>
        <w:t xml:space="preserve">  三、质量保修责任</w:t>
      </w:r>
    </w:p>
    <w:p w14:paraId="2C0C8511">
      <w:pPr>
        <w:snapToGrid w:val="0"/>
        <w:spacing w:line="340" w:lineRule="exact"/>
        <w:rPr>
          <w:rFonts w:ascii="宋体" w:hAnsi="宋体"/>
          <w:color w:val="000000"/>
          <w:sz w:val="21"/>
          <w:szCs w:val="21"/>
        </w:rPr>
      </w:pPr>
      <w:r>
        <w:rPr>
          <w:rFonts w:hint="eastAsia" w:ascii="宋体" w:hAnsi="宋体"/>
          <w:color w:val="000000"/>
          <w:sz w:val="21"/>
          <w:szCs w:val="21"/>
        </w:rPr>
        <w:t xml:space="preserve">    l、属于保修范围和内容的项目，承包人应在接到修理通知之日后7天内派人修理。承包人不在约定期限内派人修理，发包人可委托其他人员修理，保修费用从质量保修金内扣除。</w:t>
      </w:r>
    </w:p>
    <w:p w14:paraId="753AE284">
      <w:pPr>
        <w:snapToGrid w:val="0"/>
        <w:spacing w:line="340" w:lineRule="exact"/>
        <w:rPr>
          <w:rFonts w:ascii="宋体" w:hAnsi="宋体"/>
          <w:color w:val="000000"/>
          <w:sz w:val="21"/>
          <w:szCs w:val="21"/>
        </w:rPr>
      </w:pPr>
      <w:r>
        <w:rPr>
          <w:rFonts w:hint="eastAsia" w:ascii="宋体" w:hAnsi="宋体"/>
          <w:color w:val="000000"/>
          <w:sz w:val="21"/>
          <w:szCs w:val="21"/>
        </w:rPr>
        <w:t xml:space="preserve">    2、发生须紧急抢修事故，承包人接到事故通知后，应立即到达事故现场抢修。非承包人施工质量引起的事故，抢修费用由发包人承担。</w:t>
      </w:r>
    </w:p>
    <w:p w14:paraId="1E562CD9">
      <w:pPr>
        <w:snapToGrid w:val="0"/>
        <w:spacing w:line="340" w:lineRule="exact"/>
        <w:rPr>
          <w:rFonts w:ascii="宋体" w:hAnsi="宋体"/>
          <w:color w:val="000000"/>
          <w:sz w:val="21"/>
          <w:szCs w:val="21"/>
        </w:rPr>
      </w:pPr>
      <w:r>
        <w:rPr>
          <w:rFonts w:hint="eastAsia" w:ascii="宋体" w:hAnsi="宋体"/>
          <w:color w:val="000000"/>
          <w:sz w:val="21"/>
          <w:szCs w:val="21"/>
        </w:rPr>
        <w:t xml:space="preserve">    3、在国家规定的工程合理使用期限内，承包人确保工程的质量。因承包人原因致使工程在合理使用期限内造成人身和财产损害的，承包人应承担损其赔偿责任。</w:t>
      </w:r>
    </w:p>
    <w:p w14:paraId="0D26C79C">
      <w:pPr>
        <w:snapToGrid w:val="0"/>
        <w:spacing w:line="340" w:lineRule="exact"/>
        <w:rPr>
          <w:rFonts w:ascii="宋体" w:hAnsi="宋体"/>
          <w:color w:val="000000"/>
          <w:sz w:val="21"/>
          <w:szCs w:val="21"/>
        </w:rPr>
      </w:pPr>
      <w:r>
        <w:rPr>
          <w:rFonts w:hint="eastAsia" w:ascii="宋体" w:hAnsi="宋体"/>
          <w:color w:val="000000"/>
          <w:sz w:val="21"/>
          <w:szCs w:val="21"/>
        </w:rPr>
        <w:t xml:space="preserve">    四、质量保修金的支付</w:t>
      </w:r>
    </w:p>
    <w:p w14:paraId="078C8B1C">
      <w:pPr>
        <w:snapToGrid w:val="0"/>
        <w:spacing w:line="340" w:lineRule="exact"/>
        <w:rPr>
          <w:rFonts w:ascii="宋体" w:hAnsi="宋体"/>
          <w:color w:val="000000"/>
          <w:sz w:val="21"/>
          <w:szCs w:val="21"/>
        </w:rPr>
      </w:pPr>
      <w:r>
        <w:rPr>
          <w:rFonts w:hint="eastAsia" w:ascii="宋体" w:hAnsi="宋体"/>
          <w:color w:val="000000"/>
          <w:sz w:val="21"/>
          <w:szCs w:val="21"/>
        </w:rPr>
        <w:t xml:space="preserve">    工程质量保修金一般不超过施工合同价款的3％，本工程约定的工程质量保修金为施工合同价款的</w:t>
      </w:r>
      <w:r>
        <w:rPr>
          <w:rFonts w:hint="eastAsia" w:ascii="宋体" w:hAnsi="宋体"/>
          <w:color w:val="000000"/>
          <w:sz w:val="21"/>
          <w:szCs w:val="21"/>
          <w:u w:val="single"/>
        </w:rPr>
        <w:t xml:space="preserve">     3</w:t>
      </w:r>
      <w:r>
        <w:rPr>
          <w:rFonts w:hint="eastAsia" w:ascii="宋体" w:hAnsi="宋体"/>
          <w:b/>
          <w:color w:val="000000"/>
          <w:sz w:val="21"/>
          <w:szCs w:val="21"/>
          <w:u w:val="single"/>
        </w:rPr>
        <w:t xml:space="preserve"> </w:t>
      </w:r>
      <w:r>
        <w:rPr>
          <w:rFonts w:hint="eastAsia" w:ascii="宋体" w:hAnsi="宋体"/>
          <w:color w:val="000000"/>
          <w:sz w:val="21"/>
          <w:szCs w:val="21"/>
        </w:rPr>
        <w:t>％。</w:t>
      </w:r>
    </w:p>
    <w:p w14:paraId="7349B643">
      <w:pPr>
        <w:snapToGrid w:val="0"/>
        <w:spacing w:line="340" w:lineRule="exact"/>
        <w:rPr>
          <w:rFonts w:ascii="宋体" w:hAnsi="宋体"/>
          <w:color w:val="000000"/>
          <w:sz w:val="21"/>
          <w:szCs w:val="21"/>
        </w:rPr>
      </w:pPr>
      <w:r>
        <w:rPr>
          <w:rFonts w:hint="eastAsia" w:ascii="宋体" w:hAnsi="宋体"/>
          <w:color w:val="000000"/>
          <w:sz w:val="21"/>
          <w:szCs w:val="21"/>
        </w:rPr>
        <w:t xml:space="preserve">    本工程双方约定承包人向发包人支付工程质量保修金金额为</w:t>
      </w:r>
      <w:r>
        <w:rPr>
          <w:rFonts w:hint="eastAsia" w:ascii="宋体" w:hAnsi="宋体"/>
          <w:color w:val="000000"/>
          <w:sz w:val="21"/>
          <w:szCs w:val="21"/>
          <w:u w:val="single"/>
        </w:rPr>
        <w:t xml:space="preserve">      /   </w:t>
      </w:r>
      <w:r>
        <w:rPr>
          <w:rFonts w:hint="eastAsia" w:ascii="宋体" w:hAnsi="宋体"/>
          <w:color w:val="000000"/>
          <w:sz w:val="21"/>
          <w:szCs w:val="21"/>
        </w:rPr>
        <w:t>（大写）。质量保修金银行利率为</w:t>
      </w:r>
      <w:r>
        <w:rPr>
          <w:rFonts w:hint="eastAsia" w:ascii="宋体" w:hAnsi="宋体"/>
          <w:color w:val="000000"/>
          <w:sz w:val="21"/>
          <w:szCs w:val="21"/>
          <w:u w:val="single"/>
        </w:rPr>
        <w:t xml:space="preserve">                   /                    </w:t>
      </w:r>
      <w:r>
        <w:rPr>
          <w:rFonts w:hint="eastAsia" w:ascii="宋体" w:hAnsi="宋体"/>
          <w:color w:val="000000"/>
          <w:sz w:val="21"/>
          <w:szCs w:val="21"/>
        </w:rPr>
        <w:t>。</w:t>
      </w:r>
    </w:p>
    <w:p w14:paraId="5C998620">
      <w:pPr>
        <w:snapToGrid w:val="0"/>
        <w:spacing w:line="340" w:lineRule="exact"/>
        <w:rPr>
          <w:rFonts w:ascii="宋体" w:hAnsi="宋体"/>
          <w:color w:val="000000"/>
          <w:sz w:val="21"/>
          <w:szCs w:val="21"/>
        </w:rPr>
      </w:pPr>
      <w:r>
        <w:rPr>
          <w:rFonts w:hint="eastAsia" w:ascii="宋体" w:hAnsi="宋体"/>
          <w:color w:val="000000"/>
          <w:sz w:val="21"/>
          <w:szCs w:val="21"/>
        </w:rPr>
        <w:t xml:space="preserve">    五、质量保修金的返还</w:t>
      </w:r>
    </w:p>
    <w:p w14:paraId="75C6402E">
      <w:pPr>
        <w:snapToGrid w:val="0"/>
        <w:spacing w:line="340" w:lineRule="exact"/>
        <w:rPr>
          <w:rFonts w:ascii="宋体" w:hAnsi="宋体"/>
          <w:color w:val="000000"/>
          <w:sz w:val="21"/>
          <w:szCs w:val="21"/>
        </w:rPr>
      </w:pPr>
      <w:r>
        <w:rPr>
          <w:rFonts w:hint="eastAsia" w:ascii="宋体" w:hAnsi="宋体"/>
          <w:color w:val="000000"/>
          <w:sz w:val="21"/>
          <w:szCs w:val="21"/>
        </w:rPr>
        <w:t xml:space="preserve">    发包人在质量保修期满后一个月内。将剩余保修金返还承包人。</w:t>
      </w:r>
    </w:p>
    <w:p w14:paraId="187CE5B7">
      <w:pPr>
        <w:snapToGrid w:val="0"/>
        <w:spacing w:line="340" w:lineRule="exact"/>
        <w:rPr>
          <w:rFonts w:ascii="宋体" w:hAnsi="宋体"/>
          <w:color w:val="000000"/>
          <w:sz w:val="21"/>
          <w:szCs w:val="21"/>
        </w:rPr>
      </w:pPr>
      <w:r>
        <w:rPr>
          <w:rFonts w:hint="eastAsia" w:ascii="宋体" w:hAnsi="宋体"/>
          <w:color w:val="000000"/>
          <w:sz w:val="21"/>
          <w:szCs w:val="21"/>
        </w:rPr>
        <w:t xml:space="preserve">    六、其他</w:t>
      </w:r>
    </w:p>
    <w:p w14:paraId="63CD7F7F">
      <w:pPr>
        <w:snapToGrid w:val="0"/>
        <w:spacing w:line="340" w:lineRule="exact"/>
        <w:rPr>
          <w:rFonts w:ascii="宋体" w:hAnsi="宋体"/>
          <w:color w:val="000000"/>
          <w:sz w:val="21"/>
          <w:szCs w:val="21"/>
          <w:u w:val="single"/>
        </w:rPr>
      </w:pPr>
      <w:r>
        <w:rPr>
          <w:rFonts w:hint="eastAsia" w:ascii="宋体" w:hAnsi="宋体"/>
          <w:color w:val="000000"/>
          <w:sz w:val="21"/>
          <w:szCs w:val="21"/>
        </w:rPr>
        <w:t xml:space="preserve">    双方约定的其他工程质量保修事项：</w:t>
      </w:r>
      <w:r>
        <w:rPr>
          <w:rFonts w:hint="eastAsia" w:ascii="宋体" w:hAnsi="宋体"/>
          <w:color w:val="000000"/>
          <w:sz w:val="21"/>
          <w:szCs w:val="21"/>
          <w:u w:val="single"/>
        </w:rPr>
        <w:t xml:space="preserve">              /               </w:t>
      </w:r>
    </w:p>
    <w:p w14:paraId="04F30624">
      <w:pPr>
        <w:snapToGrid w:val="0"/>
        <w:spacing w:line="340" w:lineRule="exact"/>
        <w:ind w:firstLine="570"/>
        <w:rPr>
          <w:rFonts w:ascii="宋体" w:hAnsi="宋体"/>
          <w:b/>
          <w:color w:val="000000"/>
          <w:sz w:val="21"/>
          <w:szCs w:val="21"/>
        </w:rPr>
      </w:pPr>
      <w:r>
        <w:rPr>
          <w:rFonts w:hint="eastAsia" w:ascii="宋体" w:hAnsi="宋体"/>
          <w:color w:val="000000"/>
          <w:sz w:val="21"/>
          <w:szCs w:val="21"/>
        </w:rPr>
        <w:t>本工程质量保修书作为施工合同附件．与施工合同具有同等效力。</w:t>
      </w:r>
    </w:p>
    <w:p w14:paraId="271C2078">
      <w:pPr>
        <w:adjustRightInd w:val="0"/>
        <w:snapToGrid w:val="0"/>
        <w:spacing w:line="340" w:lineRule="exact"/>
        <w:ind w:firstLine="912"/>
        <w:rPr>
          <w:rFonts w:ascii="宋体" w:hAnsi="宋体"/>
          <w:color w:val="000000"/>
          <w:sz w:val="21"/>
          <w:szCs w:val="21"/>
        </w:rPr>
      </w:pPr>
    </w:p>
    <w:p w14:paraId="47C0B2CC">
      <w:pPr>
        <w:adjustRightInd w:val="0"/>
        <w:snapToGrid w:val="0"/>
        <w:spacing w:line="340" w:lineRule="exact"/>
        <w:ind w:firstLine="912"/>
        <w:rPr>
          <w:rFonts w:ascii="宋体" w:hAnsi="宋体"/>
          <w:color w:val="000000"/>
          <w:sz w:val="21"/>
          <w:szCs w:val="21"/>
        </w:rPr>
      </w:pPr>
    </w:p>
    <w:p w14:paraId="06BF5624">
      <w:pPr>
        <w:adjustRightInd w:val="0"/>
        <w:snapToGrid w:val="0"/>
        <w:spacing w:line="340" w:lineRule="exact"/>
        <w:ind w:firstLine="912"/>
        <w:rPr>
          <w:rFonts w:ascii="宋体" w:hAnsi="宋体"/>
          <w:color w:val="000000"/>
          <w:sz w:val="21"/>
          <w:szCs w:val="21"/>
        </w:rPr>
      </w:pPr>
    </w:p>
    <w:p w14:paraId="68E840BD">
      <w:pPr>
        <w:adjustRightInd w:val="0"/>
        <w:snapToGrid w:val="0"/>
        <w:spacing w:line="340" w:lineRule="exact"/>
        <w:ind w:firstLine="912"/>
        <w:rPr>
          <w:rFonts w:ascii="宋体" w:hAnsi="宋体"/>
          <w:color w:val="000000"/>
          <w:sz w:val="21"/>
          <w:szCs w:val="21"/>
        </w:rPr>
      </w:pPr>
      <w:r>
        <w:rPr>
          <w:rFonts w:hint="eastAsia" w:ascii="宋体" w:hAnsi="宋体"/>
          <w:color w:val="000000"/>
          <w:sz w:val="21"/>
          <w:szCs w:val="21"/>
        </w:rPr>
        <w:t>发  包  人(公章)：              承  包  人(公章)：</w:t>
      </w:r>
    </w:p>
    <w:p w14:paraId="2EB2CCBF">
      <w:pPr>
        <w:adjustRightInd w:val="0"/>
        <w:snapToGrid w:val="0"/>
        <w:spacing w:line="340" w:lineRule="exact"/>
        <w:ind w:firstLine="912"/>
        <w:rPr>
          <w:rFonts w:ascii="宋体" w:hAnsi="宋体"/>
          <w:color w:val="000000"/>
          <w:sz w:val="21"/>
          <w:szCs w:val="21"/>
        </w:rPr>
      </w:pPr>
      <w:r>
        <w:rPr>
          <w:rFonts w:hint="eastAsia" w:ascii="宋体" w:hAnsi="宋体"/>
          <w:color w:val="000000"/>
          <w:sz w:val="21"/>
          <w:szCs w:val="21"/>
        </w:rPr>
        <w:t>法定代表人(签字)：              法定代表人(签字)：</w:t>
      </w:r>
    </w:p>
    <w:p w14:paraId="1B4833A3">
      <w:pPr>
        <w:adjustRightInd w:val="0"/>
        <w:snapToGrid w:val="0"/>
        <w:spacing w:line="340" w:lineRule="exact"/>
        <w:ind w:firstLine="435"/>
        <w:rPr>
          <w:rFonts w:ascii="宋体" w:hAnsi="宋体"/>
          <w:color w:val="000000"/>
          <w:sz w:val="21"/>
          <w:szCs w:val="21"/>
        </w:rPr>
      </w:pPr>
      <w:r>
        <w:rPr>
          <w:rFonts w:hint="eastAsia" w:ascii="宋体" w:hAnsi="宋体"/>
          <w:color w:val="000000"/>
          <w:sz w:val="21"/>
          <w:szCs w:val="21"/>
        </w:rPr>
        <w:t>　　</w:t>
      </w:r>
      <w:r>
        <w:rPr>
          <w:rFonts w:hint="eastAsia" w:ascii="宋体" w:hAnsi="宋体"/>
          <w:color w:val="000000"/>
          <w:sz w:val="21"/>
          <w:szCs w:val="21"/>
          <w:u w:val="single"/>
        </w:rPr>
        <w:t xml:space="preserve">    </w:t>
      </w:r>
      <w:r>
        <w:rPr>
          <w:rFonts w:hint="eastAsia" w:ascii="宋体" w:hAnsi="宋体"/>
          <w:color w:val="000000"/>
          <w:sz w:val="21"/>
          <w:szCs w:val="21"/>
        </w:rPr>
        <w:t xml:space="preserve"> 年 </w:t>
      </w:r>
      <w:r>
        <w:rPr>
          <w:rFonts w:hint="eastAsia" w:ascii="宋体" w:hAnsi="宋体"/>
          <w:color w:val="000000"/>
          <w:sz w:val="21"/>
          <w:szCs w:val="21"/>
          <w:u w:val="single"/>
        </w:rPr>
        <w:t xml:space="preserve">    </w:t>
      </w:r>
      <w:r>
        <w:rPr>
          <w:rFonts w:hint="eastAsia" w:ascii="宋体" w:hAnsi="宋体"/>
          <w:color w:val="000000"/>
          <w:sz w:val="21"/>
          <w:szCs w:val="21"/>
        </w:rPr>
        <w:t xml:space="preserve">月 </w:t>
      </w:r>
      <w:r>
        <w:rPr>
          <w:rFonts w:hint="eastAsia" w:ascii="宋体" w:hAnsi="宋体"/>
          <w:color w:val="000000"/>
          <w:sz w:val="21"/>
          <w:szCs w:val="21"/>
          <w:u w:val="single"/>
        </w:rPr>
        <w:t xml:space="preserve">   </w:t>
      </w:r>
      <w:r>
        <w:rPr>
          <w:rFonts w:hint="eastAsia" w:ascii="宋体" w:hAnsi="宋体"/>
          <w:color w:val="000000"/>
          <w:sz w:val="21"/>
          <w:szCs w:val="21"/>
        </w:rPr>
        <w:t xml:space="preserve"> 日             </w:t>
      </w:r>
      <w:r>
        <w:rPr>
          <w:rFonts w:ascii="宋体" w:hAnsi="宋体"/>
          <w:color w:val="000000"/>
          <w:sz w:val="21"/>
          <w:szCs w:val="21"/>
          <w:u w:val="single"/>
        </w:rPr>
        <w:t xml:space="preserve">     </w:t>
      </w:r>
      <w:r>
        <w:rPr>
          <w:rFonts w:hint="eastAsia" w:ascii="宋体" w:hAnsi="宋体"/>
          <w:color w:val="000000"/>
          <w:sz w:val="21"/>
          <w:szCs w:val="21"/>
        </w:rPr>
        <w:t xml:space="preserve"> 年 </w:t>
      </w:r>
      <w:r>
        <w:rPr>
          <w:rFonts w:hint="eastAsia" w:ascii="宋体" w:hAnsi="宋体"/>
          <w:color w:val="000000"/>
          <w:sz w:val="21"/>
          <w:szCs w:val="21"/>
          <w:u w:val="single"/>
        </w:rPr>
        <w:t xml:space="preserve">    </w:t>
      </w:r>
      <w:r>
        <w:rPr>
          <w:rFonts w:hint="eastAsia" w:ascii="宋体" w:hAnsi="宋体"/>
          <w:color w:val="000000"/>
          <w:sz w:val="21"/>
          <w:szCs w:val="21"/>
        </w:rPr>
        <w:t xml:space="preserve"> 月 </w:t>
      </w:r>
      <w:r>
        <w:rPr>
          <w:rFonts w:hint="eastAsia" w:ascii="宋体" w:hAnsi="宋体"/>
          <w:color w:val="000000"/>
          <w:sz w:val="21"/>
          <w:szCs w:val="21"/>
          <w:u w:val="single"/>
        </w:rPr>
        <w:t xml:space="preserve">    </w:t>
      </w:r>
      <w:r>
        <w:rPr>
          <w:rFonts w:hint="eastAsia" w:ascii="宋体" w:hAnsi="宋体"/>
          <w:color w:val="000000"/>
          <w:sz w:val="21"/>
          <w:szCs w:val="21"/>
        </w:rPr>
        <w:t xml:space="preserve"> 日</w:t>
      </w:r>
    </w:p>
    <w:p w14:paraId="1B0254F6">
      <w:pPr>
        <w:snapToGrid w:val="0"/>
        <w:spacing w:line="360" w:lineRule="auto"/>
        <w:rPr>
          <w:rFonts w:ascii="宋体" w:hAnsi="宋体"/>
          <w:sz w:val="21"/>
          <w:szCs w:val="21"/>
        </w:rPr>
      </w:pPr>
    </w:p>
    <w:p w14:paraId="4070E679">
      <w:pPr>
        <w:adjustRightInd w:val="0"/>
        <w:snapToGrid w:val="0"/>
        <w:spacing w:before="120" w:after="120" w:line="300" w:lineRule="auto"/>
        <w:jc w:val="both"/>
        <w:outlineLvl w:val="1"/>
        <w:rPr>
          <w:rFonts w:hint="eastAsia" w:ascii="宋体" w:hAnsi="宋体"/>
          <w:b/>
          <w:sz w:val="21"/>
          <w:szCs w:val="21"/>
          <w:lang w:val="en-US" w:eastAsia="zh-CN"/>
        </w:rPr>
      </w:pPr>
      <w:bookmarkStart w:id="247" w:name="_Toc41468238"/>
      <w:bookmarkStart w:id="248" w:name="_Toc29303"/>
    </w:p>
    <w:p w14:paraId="0F00FA5C">
      <w:pPr>
        <w:adjustRightInd w:val="0"/>
        <w:snapToGrid w:val="0"/>
        <w:spacing w:before="120" w:after="120" w:line="300" w:lineRule="auto"/>
        <w:jc w:val="both"/>
        <w:outlineLvl w:val="1"/>
        <w:rPr>
          <w:rFonts w:hint="eastAsia" w:ascii="宋体" w:hAnsi="宋体"/>
          <w:b/>
          <w:sz w:val="21"/>
          <w:szCs w:val="21"/>
          <w:lang w:val="en-US" w:eastAsia="zh-CN"/>
        </w:rPr>
      </w:pPr>
    </w:p>
    <w:p w14:paraId="710811E0">
      <w:pPr>
        <w:adjustRightInd w:val="0"/>
        <w:snapToGrid w:val="0"/>
        <w:spacing w:before="120" w:after="120" w:line="300" w:lineRule="auto"/>
        <w:jc w:val="both"/>
        <w:outlineLvl w:val="1"/>
        <w:rPr>
          <w:rFonts w:hint="default" w:ascii="宋体" w:hAnsi="宋体" w:eastAsia="宋体"/>
          <w:b/>
          <w:sz w:val="21"/>
          <w:szCs w:val="21"/>
          <w:lang w:val="en-US" w:eastAsia="zh-CN"/>
        </w:rPr>
      </w:pPr>
      <w:r>
        <w:rPr>
          <w:rFonts w:hint="eastAsia" w:ascii="宋体" w:hAnsi="宋体"/>
          <w:b/>
          <w:sz w:val="21"/>
          <w:szCs w:val="21"/>
          <w:lang w:val="en-US" w:eastAsia="zh-CN"/>
        </w:rPr>
        <w:t>附件三</w:t>
      </w:r>
    </w:p>
    <w:p w14:paraId="2FB9904C">
      <w:pPr>
        <w:adjustRightInd w:val="0"/>
        <w:snapToGrid w:val="0"/>
        <w:spacing w:before="120" w:after="120" w:line="300" w:lineRule="auto"/>
        <w:jc w:val="center"/>
        <w:outlineLvl w:val="1"/>
        <w:rPr>
          <w:rFonts w:ascii="宋体" w:hAnsi="宋体"/>
          <w:b/>
          <w:sz w:val="21"/>
          <w:szCs w:val="21"/>
        </w:rPr>
      </w:pPr>
      <w:r>
        <w:rPr>
          <w:rFonts w:hint="eastAsia" w:ascii="宋体" w:hAnsi="宋体"/>
          <w:b/>
          <w:sz w:val="21"/>
          <w:szCs w:val="21"/>
        </w:rPr>
        <w:t>工程安全生产合同</w:t>
      </w:r>
      <w:bookmarkEnd w:id="247"/>
      <w:bookmarkEnd w:id="248"/>
    </w:p>
    <w:p w14:paraId="5A499263">
      <w:pPr>
        <w:spacing w:line="380" w:lineRule="exact"/>
        <w:ind w:firstLine="420"/>
        <w:rPr>
          <w:rFonts w:ascii="宋体" w:hAnsi="宋体" w:cs="宋体"/>
          <w:sz w:val="21"/>
          <w:szCs w:val="21"/>
        </w:rPr>
      </w:pPr>
    </w:p>
    <w:p w14:paraId="75CA5919">
      <w:pPr>
        <w:spacing w:line="380" w:lineRule="exact"/>
        <w:ind w:firstLine="420"/>
        <w:rPr>
          <w:rFonts w:ascii="宋体" w:hAnsi="宋体"/>
          <w:sz w:val="21"/>
          <w:szCs w:val="21"/>
        </w:rPr>
      </w:pPr>
      <w:r>
        <w:rPr>
          <w:rFonts w:hint="eastAsia" w:ascii="宋体" w:hAnsi="宋体" w:cs="宋体"/>
          <w:sz w:val="21"/>
          <w:szCs w:val="21"/>
        </w:rPr>
        <w:t>发包人：　　</w:t>
      </w:r>
      <w:r>
        <w:rPr>
          <w:rFonts w:ascii="宋体" w:hAnsi="宋体"/>
          <w:sz w:val="21"/>
          <w:szCs w:val="21"/>
        </w:rPr>
        <w:t xml:space="preserve">                             </w:t>
      </w:r>
      <w:r>
        <w:rPr>
          <w:rFonts w:hint="eastAsia" w:ascii="宋体" w:hAnsi="宋体" w:cs="宋体"/>
          <w:sz w:val="21"/>
          <w:szCs w:val="21"/>
        </w:rPr>
        <w:t>（</w:t>
      </w:r>
      <w:r>
        <w:rPr>
          <w:rFonts w:ascii="宋体" w:hAnsi="宋体"/>
          <w:snapToGrid w:val="0"/>
          <w:sz w:val="21"/>
          <w:szCs w:val="21"/>
        </w:rPr>
        <w:t xml:space="preserve"> </w:t>
      </w:r>
      <w:r>
        <w:rPr>
          <w:rFonts w:hint="eastAsia" w:ascii="宋体" w:hAnsi="宋体" w:cs="宋体"/>
          <w:sz w:val="21"/>
          <w:szCs w:val="21"/>
        </w:rPr>
        <w:t>以下简称“甲方”</w:t>
      </w:r>
      <w:r>
        <w:rPr>
          <w:rFonts w:ascii="宋体" w:hAnsi="宋体"/>
          <w:snapToGrid w:val="0"/>
          <w:sz w:val="21"/>
          <w:szCs w:val="21"/>
        </w:rPr>
        <w:t xml:space="preserve"> </w:t>
      </w:r>
      <w:r>
        <w:rPr>
          <w:rFonts w:hint="eastAsia" w:ascii="宋体" w:hAnsi="宋体" w:cs="宋体"/>
          <w:sz w:val="21"/>
          <w:szCs w:val="21"/>
        </w:rPr>
        <w:t>）</w:t>
      </w:r>
    </w:p>
    <w:p w14:paraId="7ED2207C">
      <w:pPr>
        <w:spacing w:line="380" w:lineRule="exact"/>
        <w:ind w:firstLine="420"/>
        <w:rPr>
          <w:rFonts w:ascii="宋体" w:hAnsi="宋体"/>
          <w:sz w:val="21"/>
          <w:szCs w:val="21"/>
        </w:rPr>
      </w:pPr>
      <w:r>
        <w:rPr>
          <w:rFonts w:hint="eastAsia" w:ascii="宋体" w:hAnsi="宋体" w:cs="宋体"/>
          <w:sz w:val="21"/>
          <w:szCs w:val="21"/>
        </w:rPr>
        <w:t>承包人：</w:t>
      </w:r>
      <w:r>
        <w:rPr>
          <w:rFonts w:ascii="宋体" w:hAnsi="宋体"/>
          <w:sz w:val="21"/>
          <w:szCs w:val="21"/>
        </w:rPr>
        <w:t xml:space="preserve">                                 </w:t>
      </w:r>
      <w:r>
        <w:rPr>
          <w:rFonts w:hint="eastAsia" w:ascii="宋体" w:hAnsi="宋体" w:cs="宋体"/>
          <w:sz w:val="21"/>
          <w:szCs w:val="21"/>
        </w:rPr>
        <w:t>（</w:t>
      </w:r>
      <w:r>
        <w:rPr>
          <w:rFonts w:ascii="宋体" w:hAnsi="宋体"/>
          <w:snapToGrid w:val="0"/>
          <w:sz w:val="21"/>
          <w:szCs w:val="21"/>
        </w:rPr>
        <w:t xml:space="preserve"> </w:t>
      </w:r>
      <w:r>
        <w:rPr>
          <w:rFonts w:hint="eastAsia" w:ascii="宋体" w:hAnsi="宋体" w:cs="宋体"/>
          <w:sz w:val="21"/>
          <w:szCs w:val="21"/>
        </w:rPr>
        <w:t>以下简称“乙方”</w:t>
      </w:r>
      <w:r>
        <w:rPr>
          <w:rFonts w:ascii="宋体" w:hAnsi="宋体"/>
          <w:snapToGrid w:val="0"/>
          <w:sz w:val="21"/>
          <w:szCs w:val="21"/>
        </w:rPr>
        <w:t xml:space="preserve"> </w:t>
      </w:r>
      <w:r>
        <w:rPr>
          <w:rFonts w:hint="eastAsia" w:ascii="宋体" w:hAnsi="宋体" w:cs="宋体"/>
          <w:sz w:val="21"/>
          <w:szCs w:val="21"/>
        </w:rPr>
        <w:t>）</w:t>
      </w:r>
    </w:p>
    <w:p w14:paraId="57DD8CFF">
      <w:pPr>
        <w:spacing w:line="380" w:lineRule="exact"/>
        <w:ind w:firstLine="420"/>
        <w:rPr>
          <w:rFonts w:ascii="宋体" w:hAnsi="宋体"/>
          <w:sz w:val="21"/>
          <w:szCs w:val="21"/>
        </w:rPr>
      </w:pPr>
    </w:p>
    <w:p w14:paraId="6682D28D">
      <w:pPr>
        <w:spacing w:line="380" w:lineRule="exact"/>
        <w:ind w:firstLine="420"/>
        <w:rPr>
          <w:rFonts w:ascii="宋体" w:hAnsi="宋体"/>
          <w:sz w:val="21"/>
          <w:szCs w:val="21"/>
        </w:rPr>
      </w:pPr>
      <w:r>
        <w:rPr>
          <w:rFonts w:hint="eastAsia" w:ascii="宋体" w:hAnsi="宋体" w:cs="宋体"/>
          <w:sz w:val="21"/>
          <w:szCs w:val="21"/>
        </w:rPr>
        <w:t>为在</w:t>
      </w:r>
      <w:r>
        <w:rPr>
          <w:rFonts w:ascii="宋体" w:hAnsi="宋体"/>
          <w:sz w:val="21"/>
          <w:szCs w:val="21"/>
          <w:u w:val="single"/>
        </w:rPr>
        <w:t xml:space="preserve">                  </w:t>
      </w:r>
      <w:r>
        <w:rPr>
          <w:rFonts w:hint="eastAsia" w:ascii="宋体" w:hAnsi="宋体" w:cs="宋体"/>
          <w:sz w:val="21"/>
          <w:szCs w:val="21"/>
        </w:rPr>
        <w:t>施工合同的实施过程中创造安全、高效的施工环境，切实搞好本项目的安全管理工作，项目实施过程中达到“零责任事故，无人员重伤、无人员死亡事故”的安全目标，特此签订安全生产合同。具体如下：</w:t>
      </w:r>
    </w:p>
    <w:p w14:paraId="015D329E">
      <w:pPr>
        <w:spacing w:line="380" w:lineRule="exact"/>
        <w:ind w:firstLine="422"/>
        <w:rPr>
          <w:rFonts w:ascii="宋体" w:hAnsi="宋体" w:cs="宋体"/>
          <w:b/>
          <w:sz w:val="21"/>
          <w:szCs w:val="21"/>
        </w:rPr>
      </w:pPr>
      <w:r>
        <w:rPr>
          <w:rFonts w:hint="eastAsia" w:ascii="宋体" w:hAnsi="宋体" w:cs="宋体"/>
          <w:b/>
          <w:sz w:val="21"/>
          <w:szCs w:val="21"/>
        </w:rPr>
        <w:t>一、</w:t>
      </w:r>
      <w:r>
        <w:rPr>
          <w:rFonts w:hint="eastAsia" w:ascii="宋体" w:hAnsi="宋体" w:cs="宋体"/>
          <w:sz w:val="21"/>
          <w:szCs w:val="21"/>
        </w:rPr>
        <w:t>甲方职责</w:t>
      </w:r>
    </w:p>
    <w:p w14:paraId="34B385B5">
      <w:pPr>
        <w:spacing w:line="380" w:lineRule="exact"/>
        <w:ind w:firstLine="420"/>
        <w:rPr>
          <w:rFonts w:ascii="宋体" w:hAnsi="宋体"/>
          <w:sz w:val="21"/>
          <w:szCs w:val="21"/>
        </w:rPr>
      </w:pPr>
      <w:r>
        <w:rPr>
          <w:rFonts w:ascii="宋体" w:hAnsi="宋体"/>
          <w:sz w:val="21"/>
          <w:szCs w:val="21"/>
        </w:rPr>
        <w:t>1</w:t>
      </w:r>
      <w:r>
        <w:rPr>
          <w:rFonts w:hint="eastAsia" w:ascii="宋体" w:hAnsi="宋体" w:cs="宋体"/>
          <w:sz w:val="21"/>
          <w:szCs w:val="21"/>
        </w:rPr>
        <w:t>．严格遵守国家有关安全生产的法律法规，认真执行工程承包合同中的有关安全要求。</w:t>
      </w:r>
    </w:p>
    <w:p w14:paraId="238AF0EA">
      <w:pPr>
        <w:spacing w:line="380" w:lineRule="exact"/>
        <w:ind w:firstLine="420"/>
        <w:rPr>
          <w:rFonts w:ascii="宋体" w:hAnsi="宋体"/>
          <w:sz w:val="21"/>
          <w:szCs w:val="21"/>
        </w:rPr>
      </w:pPr>
      <w:r>
        <w:rPr>
          <w:rFonts w:ascii="宋体" w:hAnsi="宋体"/>
          <w:sz w:val="21"/>
          <w:szCs w:val="21"/>
        </w:rPr>
        <w:t>2</w:t>
      </w:r>
      <w:r>
        <w:rPr>
          <w:rFonts w:hint="eastAsia" w:ascii="宋体" w:hAnsi="宋体" w:cs="宋体"/>
          <w:sz w:val="21"/>
          <w:szCs w:val="21"/>
        </w:rPr>
        <w:t>．按照“安全第一、预防为主”和坚持“管生产必需管安全”的原则进行安全生产管理，做到生产与安全工作同时计划、布置、检查、总结和评比。</w:t>
      </w:r>
    </w:p>
    <w:p w14:paraId="097198C5">
      <w:pPr>
        <w:spacing w:line="380" w:lineRule="exact"/>
        <w:ind w:firstLine="420"/>
        <w:rPr>
          <w:rFonts w:ascii="宋体" w:hAnsi="宋体"/>
          <w:sz w:val="21"/>
          <w:szCs w:val="21"/>
        </w:rPr>
      </w:pPr>
      <w:r>
        <w:rPr>
          <w:rFonts w:ascii="宋体" w:hAnsi="宋体"/>
          <w:sz w:val="21"/>
          <w:szCs w:val="21"/>
        </w:rPr>
        <w:t>3</w:t>
      </w:r>
      <w:r>
        <w:rPr>
          <w:rFonts w:hint="eastAsia" w:ascii="宋体" w:hAnsi="宋体" w:cs="宋体"/>
          <w:sz w:val="21"/>
          <w:szCs w:val="21"/>
        </w:rPr>
        <w:t>．传达中央及地方有关安全生产的精神。</w:t>
      </w:r>
    </w:p>
    <w:p w14:paraId="248D74A3">
      <w:pPr>
        <w:spacing w:line="380" w:lineRule="exact"/>
        <w:ind w:firstLine="420"/>
        <w:rPr>
          <w:rFonts w:ascii="宋体" w:hAnsi="宋体"/>
          <w:sz w:val="21"/>
          <w:szCs w:val="21"/>
        </w:rPr>
      </w:pPr>
      <w:r>
        <w:rPr>
          <w:rFonts w:ascii="宋体" w:hAnsi="宋体"/>
          <w:sz w:val="21"/>
          <w:szCs w:val="21"/>
        </w:rPr>
        <w:t>4</w:t>
      </w:r>
      <w:r>
        <w:rPr>
          <w:rFonts w:hint="eastAsia" w:ascii="宋体" w:hAnsi="宋体" w:cs="宋体"/>
          <w:sz w:val="21"/>
          <w:szCs w:val="21"/>
        </w:rPr>
        <w:t>．组织对乙方施工现场安全生产检查，监督乙方及时处理发现的各种安全隐患。</w:t>
      </w:r>
    </w:p>
    <w:p w14:paraId="6866784A">
      <w:pPr>
        <w:spacing w:line="380" w:lineRule="exact"/>
        <w:ind w:firstLine="422"/>
        <w:rPr>
          <w:rFonts w:ascii="宋体" w:hAnsi="宋体" w:cs="宋体"/>
          <w:b/>
          <w:sz w:val="21"/>
          <w:szCs w:val="21"/>
        </w:rPr>
      </w:pPr>
      <w:r>
        <w:rPr>
          <w:rFonts w:hint="eastAsia" w:ascii="宋体" w:hAnsi="宋体" w:cs="宋体"/>
          <w:b/>
          <w:sz w:val="21"/>
          <w:szCs w:val="21"/>
        </w:rPr>
        <w:t>二、</w:t>
      </w:r>
      <w:r>
        <w:rPr>
          <w:rFonts w:hint="eastAsia" w:ascii="宋体" w:hAnsi="宋体" w:cs="宋体"/>
          <w:sz w:val="21"/>
          <w:szCs w:val="21"/>
        </w:rPr>
        <w:t>乙方职责</w:t>
      </w:r>
    </w:p>
    <w:p w14:paraId="1AE21879">
      <w:pPr>
        <w:spacing w:line="380" w:lineRule="exact"/>
        <w:ind w:firstLine="420"/>
        <w:rPr>
          <w:rFonts w:ascii="宋体" w:hAnsi="宋体"/>
          <w:sz w:val="21"/>
          <w:szCs w:val="21"/>
        </w:rPr>
      </w:pPr>
      <w:r>
        <w:rPr>
          <w:rFonts w:ascii="宋体" w:hAnsi="宋体"/>
          <w:sz w:val="21"/>
          <w:szCs w:val="21"/>
        </w:rPr>
        <w:t>1</w:t>
      </w:r>
      <w:r>
        <w:rPr>
          <w:rFonts w:hint="eastAsia" w:ascii="宋体" w:hAnsi="宋体" w:cs="宋体"/>
          <w:sz w:val="21"/>
          <w:szCs w:val="21"/>
        </w:rPr>
        <w:t>．严格遵守国家有关安全生产的法律法规、有关安全生产的规定，认真执行工程承包合同中的有关安全要求，接受甲方和监理工程师对安全生产工作的指导。</w:t>
      </w:r>
    </w:p>
    <w:p w14:paraId="6AD90ADC">
      <w:pPr>
        <w:spacing w:line="380" w:lineRule="exact"/>
        <w:ind w:firstLine="420"/>
        <w:rPr>
          <w:rFonts w:ascii="宋体" w:hAnsi="宋体"/>
          <w:sz w:val="21"/>
          <w:szCs w:val="21"/>
        </w:rPr>
      </w:pPr>
      <w:r>
        <w:rPr>
          <w:rFonts w:ascii="宋体" w:hAnsi="宋体"/>
          <w:sz w:val="21"/>
          <w:szCs w:val="21"/>
        </w:rPr>
        <w:t>2</w:t>
      </w:r>
      <w:r>
        <w:rPr>
          <w:rFonts w:hint="eastAsia" w:ascii="宋体" w:hAnsi="宋体" w:cs="宋体"/>
          <w:sz w:val="21"/>
          <w:szCs w:val="21"/>
        </w:rPr>
        <w:t>．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7137EC3D">
      <w:pPr>
        <w:spacing w:line="380" w:lineRule="exact"/>
        <w:ind w:firstLine="420"/>
        <w:rPr>
          <w:rFonts w:ascii="宋体" w:hAnsi="宋体"/>
          <w:sz w:val="21"/>
          <w:szCs w:val="21"/>
        </w:rPr>
      </w:pPr>
      <w:r>
        <w:rPr>
          <w:rFonts w:ascii="宋体" w:hAnsi="宋体"/>
          <w:sz w:val="21"/>
          <w:szCs w:val="21"/>
        </w:rPr>
        <w:t>3</w:t>
      </w:r>
      <w:r>
        <w:rPr>
          <w:rFonts w:hint="eastAsia" w:ascii="宋体" w:hAnsi="宋体" w:cs="宋体"/>
          <w:sz w:val="21"/>
          <w:szCs w:val="21"/>
        </w:rPr>
        <w:t>．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w:t>
      </w:r>
      <w:r>
        <w:rPr>
          <w:rFonts w:ascii="宋体" w:hAnsi="宋体"/>
          <w:sz w:val="21"/>
          <w:szCs w:val="21"/>
        </w:rPr>
        <w:t>1</w:t>
      </w:r>
      <w:r>
        <w:rPr>
          <w:rFonts w:hint="eastAsia" w:ascii="宋体" w:hAnsi="宋体" w:cs="宋体"/>
          <w:sz w:val="21"/>
          <w:szCs w:val="21"/>
        </w:rPr>
        <w:t>人），专职负责所有员工的安全和治安保卫工作及预防事故的发生。安全机构人员，有权按有关规定发布指令，并采取保护性措施防止事故发生。</w:t>
      </w:r>
    </w:p>
    <w:p w14:paraId="79FC40DA">
      <w:pPr>
        <w:spacing w:line="380" w:lineRule="exact"/>
        <w:ind w:firstLine="420"/>
        <w:rPr>
          <w:rFonts w:ascii="宋体" w:hAnsi="宋体"/>
          <w:sz w:val="21"/>
          <w:szCs w:val="21"/>
        </w:rPr>
      </w:pPr>
      <w:r>
        <w:rPr>
          <w:rFonts w:ascii="宋体" w:hAnsi="宋体"/>
          <w:sz w:val="21"/>
          <w:szCs w:val="21"/>
        </w:rPr>
        <w:t>4</w:t>
      </w:r>
      <w:r>
        <w:rPr>
          <w:rFonts w:hint="eastAsia" w:ascii="宋体" w:hAnsi="宋体" w:cs="宋体"/>
          <w:sz w:val="21"/>
          <w:szCs w:val="21"/>
        </w:rPr>
        <w:t>．乙方在任何时侯都应采取各种合理的预防措施，防止其人员发生任何违法、违禁、暴力、违规或妨碍治安的行为。</w:t>
      </w:r>
    </w:p>
    <w:p w14:paraId="5183A0B2">
      <w:pPr>
        <w:spacing w:line="380" w:lineRule="exact"/>
        <w:ind w:firstLine="420"/>
        <w:rPr>
          <w:rFonts w:ascii="宋体" w:hAnsi="宋体"/>
          <w:sz w:val="21"/>
          <w:szCs w:val="21"/>
        </w:rPr>
      </w:pPr>
      <w:r>
        <w:rPr>
          <w:rFonts w:ascii="宋体" w:hAnsi="宋体"/>
          <w:sz w:val="21"/>
          <w:szCs w:val="21"/>
        </w:rPr>
        <w:t>5</w:t>
      </w:r>
      <w:r>
        <w:rPr>
          <w:rFonts w:hint="eastAsia" w:ascii="宋体" w:hAnsi="宋体" w:cs="宋体"/>
          <w:sz w:val="21"/>
          <w:szCs w:val="21"/>
        </w:rPr>
        <w:t>．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14:paraId="294494CF">
      <w:pPr>
        <w:spacing w:line="380" w:lineRule="exact"/>
        <w:ind w:firstLine="420"/>
        <w:rPr>
          <w:rFonts w:ascii="宋体" w:hAnsi="宋体"/>
          <w:sz w:val="21"/>
          <w:szCs w:val="21"/>
        </w:rPr>
      </w:pPr>
      <w:r>
        <w:rPr>
          <w:rFonts w:ascii="宋体" w:hAnsi="宋体"/>
          <w:sz w:val="21"/>
          <w:szCs w:val="21"/>
        </w:rPr>
        <w:t>6</w:t>
      </w:r>
      <w:r>
        <w:rPr>
          <w:rFonts w:hint="eastAsia" w:ascii="宋体" w:hAnsi="宋体" w:cs="宋体"/>
          <w:sz w:val="21"/>
          <w:szCs w:val="21"/>
        </w:rPr>
        <w:t>．加强施工中交通运输安全管理，各种运输机械等需划定运输路线行驶。</w:t>
      </w:r>
    </w:p>
    <w:p w14:paraId="06B3A65C">
      <w:pPr>
        <w:spacing w:line="380" w:lineRule="exact"/>
        <w:ind w:firstLine="420"/>
        <w:rPr>
          <w:rFonts w:ascii="宋体" w:hAnsi="宋体"/>
          <w:sz w:val="21"/>
          <w:szCs w:val="21"/>
        </w:rPr>
      </w:pPr>
      <w:r>
        <w:rPr>
          <w:rFonts w:ascii="宋体" w:hAnsi="宋体"/>
          <w:sz w:val="21"/>
          <w:szCs w:val="21"/>
        </w:rPr>
        <w:t>7</w:t>
      </w:r>
      <w:r>
        <w:rPr>
          <w:rFonts w:hint="eastAsia" w:ascii="宋体" w:hAnsi="宋体" w:cs="宋体"/>
          <w:sz w:val="21"/>
          <w:szCs w:val="21"/>
        </w:rPr>
        <w:t>．对于易燃易爆的材料除应专门有效封闭、妥善保管之外，还应配备有足够的消防设施，所有施工人员都应熟悉消防设备的性能和使用方法。</w:t>
      </w:r>
    </w:p>
    <w:p w14:paraId="5541FFC5">
      <w:pPr>
        <w:spacing w:line="380" w:lineRule="exact"/>
        <w:ind w:firstLine="420"/>
        <w:rPr>
          <w:rFonts w:ascii="宋体" w:hAnsi="宋体"/>
          <w:sz w:val="21"/>
          <w:szCs w:val="21"/>
        </w:rPr>
      </w:pPr>
      <w:r>
        <w:rPr>
          <w:rFonts w:ascii="宋体" w:hAnsi="宋体"/>
          <w:sz w:val="21"/>
          <w:szCs w:val="21"/>
        </w:rPr>
        <w:t>8</w:t>
      </w:r>
      <w:r>
        <w:rPr>
          <w:rFonts w:hint="eastAsia" w:ascii="宋体" w:hAnsi="宋体" w:cs="宋体"/>
          <w:sz w:val="21"/>
          <w:szCs w:val="21"/>
        </w:rPr>
        <w:t>．操作人员上岗，必须按规定穿戴防护用品。施工负责人和安全检查员应随时检查劳动防护用品的穿戴情况，不按规定穿戴防护用品的人员不得上岗。</w:t>
      </w:r>
    </w:p>
    <w:p w14:paraId="615F3BEC">
      <w:pPr>
        <w:spacing w:line="380" w:lineRule="exact"/>
        <w:ind w:firstLine="420"/>
        <w:rPr>
          <w:rFonts w:ascii="宋体" w:hAnsi="宋体"/>
          <w:sz w:val="21"/>
          <w:szCs w:val="21"/>
        </w:rPr>
      </w:pPr>
      <w:r>
        <w:rPr>
          <w:rFonts w:ascii="宋体" w:hAnsi="宋体"/>
          <w:sz w:val="21"/>
          <w:szCs w:val="21"/>
        </w:rPr>
        <w:t>9</w:t>
      </w:r>
      <w:r>
        <w:rPr>
          <w:rFonts w:hint="eastAsia" w:ascii="宋体" w:hAnsi="宋体" w:cs="宋体"/>
          <w:sz w:val="21"/>
          <w:szCs w:val="21"/>
        </w:rPr>
        <w:t>．所有施工机具、设备和劳动保护用品应具备有效的安检合格证明，并经安全员签字同意后方可使用，施工期间应定期检查，保证其处于完好状态；不合格的机具、设备和劳动保护用品严禁使用。</w:t>
      </w:r>
    </w:p>
    <w:p w14:paraId="3DCB6C14">
      <w:pPr>
        <w:spacing w:line="380" w:lineRule="exact"/>
        <w:ind w:firstLine="420"/>
        <w:rPr>
          <w:rFonts w:ascii="宋体" w:hAnsi="宋体"/>
          <w:sz w:val="21"/>
          <w:szCs w:val="21"/>
        </w:rPr>
      </w:pPr>
      <w:r>
        <w:rPr>
          <w:rFonts w:ascii="宋体" w:hAnsi="宋体"/>
          <w:sz w:val="21"/>
          <w:szCs w:val="21"/>
        </w:rPr>
        <w:t>10</w:t>
      </w:r>
      <w:r>
        <w:rPr>
          <w:rFonts w:hint="eastAsia" w:ascii="宋体" w:hAnsi="宋体" w:cs="宋体"/>
          <w:sz w:val="21"/>
          <w:szCs w:val="21"/>
        </w:rPr>
        <w:t>．施工现场必须具有相关的安全标志牌。</w:t>
      </w:r>
    </w:p>
    <w:p w14:paraId="3D85A5DC">
      <w:pPr>
        <w:spacing w:line="380" w:lineRule="exact"/>
        <w:ind w:firstLine="420"/>
        <w:rPr>
          <w:rFonts w:ascii="宋体" w:hAnsi="宋体"/>
          <w:sz w:val="21"/>
          <w:szCs w:val="21"/>
        </w:rPr>
      </w:pPr>
      <w:r>
        <w:rPr>
          <w:rFonts w:ascii="宋体" w:hAnsi="宋体"/>
          <w:sz w:val="21"/>
          <w:szCs w:val="21"/>
        </w:rPr>
        <w:t>11</w:t>
      </w:r>
      <w:r>
        <w:rPr>
          <w:rFonts w:hint="eastAsia" w:ascii="宋体" w:hAnsi="宋体" w:cs="宋体"/>
          <w:sz w:val="21"/>
          <w:szCs w:val="21"/>
        </w:rPr>
        <w:t>．建立主要危险源备案制度，要明确潜在隐患、防范措施和落实责任人。</w:t>
      </w:r>
    </w:p>
    <w:p w14:paraId="289202B7">
      <w:pPr>
        <w:spacing w:line="380" w:lineRule="exact"/>
        <w:ind w:firstLine="420"/>
        <w:rPr>
          <w:rFonts w:ascii="宋体" w:hAnsi="宋体"/>
          <w:sz w:val="21"/>
          <w:szCs w:val="21"/>
        </w:rPr>
      </w:pPr>
      <w:r>
        <w:rPr>
          <w:rFonts w:ascii="宋体" w:hAnsi="宋体"/>
          <w:sz w:val="21"/>
          <w:szCs w:val="21"/>
        </w:rPr>
        <w:t>12</w:t>
      </w:r>
      <w:r>
        <w:rPr>
          <w:rFonts w:hint="eastAsia" w:ascii="宋体" w:hAnsi="宋体" w:cs="宋体"/>
          <w:sz w:val="21"/>
          <w:szCs w:val="21"/>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316BA2F1">
      <w:pPr>
        <w:spacing w:line="380" w:lineRule="exact"/>
        <w:ind w:firstLine="422"/>
        <w:rPr>
          <w:rFonts w:ascii="宋体" w:hAnsi="宋体" w:cs="宋体"/>
          <w:b/>
          <w:sz w:val="21"/>
          <w:szCs w:val="21"/>
        </w:rPr>
      </w:pPr>
      <w:r>
        <w:rPr>
          <w:rFonts w:hint="eastAsia" w:ascii="宋体" w:hAnsi="宋体" w:cs="宋体"/>
          <w:b/>
          <w:sz w:val="21"/>
          <w:szCs w:val="21"/>
        </w:rPr>
        <w:t>三、</w:t>
      </w:r>
      <w:r>
        <w:rPr>
          <w:rFonts w:hint="eastAsia" w:ascii="宋体" w:hAnsi="宋体" w:cs="宋体"/>
          <w:sz w:val="21"/>
          <w:szCs w:val="21"/>
        </w:rPr>
        <w:t>违约责任</w:t>
      </w:r>
    </w:p>
    <w:p w14:paraId="08991625">
      <w:pPr>
        <w:spacing w:line="380" w:lineRule="exact"/>
        <w:ind w:firstLine="420"/>
        <w:rPr>
          <w:rFonts w:ascii="宋体" w:hAnsi="宋体"/>
          <w:sz w:val="21"/>
          <w:szCs w:val="21"/>
        </w:rPr>
      </w:pPr>
      <w:r>
        <w:rPr>
          <w:rFonts w:hint="eastAsia" w:ascii="宋体" w:hAnsi="宋体" w:cs="宋体"/>
          <w:sz w:val="21"/>
          <w:szCs w:val="21"/>
        </w:rPr>
        <w:t>如因乙方违约造成安全事故，将报请有关部门依法追究责任。</w:t>
      </w:r>
    </w:p>
    <w:p w14:paraId="481745C6">
      <w:pPr>
        <w:spacing w:line="380" w:lineRule="exact"/>
        <w:ind w:firstLine="420"/>
        <w:rPr>
          <w:rFonts w:ascii="宋体" w:hAnsi="宋体"/>
          <w:sz w:val="21"/>
          <w:szCs w:val="21"/>
        </w:rPr>
      </w:pPr>
      <w:r>
        <w:rPr>
          <w:rFonts w:hint="eastAsia" w:ascii="宋体" w:hAnsi="宋体" w:cs="宋体"/>
          <w:sz w:val="21"/>
          <w:szCs w:val="21"/>
        </w:rPr>
        <w:t>本合同一式二份，由双方法定代表人或其授权的代理人签署和加盖公章后生效，全部工程竣工验收后失效。</w:t>
      </w:r>
    </w:p>
    <w:p w14:paraId="4239F68D">
      <w:pPr>
        <w:spacing w:line="380" w:lineRule="exact"/>
        <w:ind w:firstLine="420"/>
        <w:rPr>
          <w:rFonts w:ascii="宋体" w:hAnsi="宋体"/>
          <w:sz w:val="21"/>
          <w:szCs w:val="21"/>
        </w:rPr>
      </w:pPr>
    </w:p>
    <w:p w14:paraId="420C5EE1">
      <w:pPr>
        <w:spacing w:line="380" w:lineRule="exact"/>
        <w:ind w:firstLine="420"/>
        <w:rPr>
          <w:rFonts w:ascii="宋体" w:hAnsi="宋体" w:cs="宋体"/>
          <w:sz w:val="21"/>
          <w:szCs w:val="21"/>
        </w:rPr>
      </w:pPr>
    </w:p>
    <w:p w14:paraId="44031182">
      <w:pPr>
        <w:spacing w:line="380" w:lineRule="exact"/>
        <w:ind w:firstLine="420"/>
        <w:rPr>
          <w:rFonts w:ascii="宋体" w:hAnsi="宋体"/>
          <w:sz w:val="21"/>
          <w:szCs w:val="21"/>
        </w:rPr>
      </w:pPr>
      <w:r>
        <w:rPr>
          <w:rFonts w:hint="eastAsia" w:ascii="宋体" w:hAnsi="宋体" w:cs="宋体"/>
          <w:sz w:val="21"/>
          <w:szCs w:val="21"/>
        </w:rPr>
        <w:t>甲</w:t>
      </w:r>
      <w:r>
        <w:rPr>
          <w:rFonts w:ascii="宋体" w:hAnsi="宋体"/>
          <w:sz w:val="21"/>
          <w:szCs w:val="21"/>
        </w:rPr>
        <w:t xml:space="preserve">      </w:t>
      </w:r>
      <w:r>
        <w:rPr>
          <w:rFonts w:hint="eastAsia" w:ascii="宋体" w:hAnsi="宋体" w:cs="宋体"/>
          <w:sz w:val="21"/>
          <w:szCs w:val="21"/>
        </w:rPr>
        <w:t>方：</w:t>
      </w:r>
      <w:r>
        <w:rPr>
          <w:rFonts w:ascii="宋体" w:hAnsi="宋体"/>
          <w:sz w:val="21"/>
          <w:szCs w:val="21"/>
        </w:rPr>
        <w:t xml:space="preserve">                         </w:t>
      </w:r>
      <w:r>
        <w:rPr>
          <w:rFonts w:hint="eastAsia" w:ascii="宋体" w:hAnsi="宋体" w:cs="宋体"/>
          <w:sz w:val="21"/>
          <w:szCs w:val="21"/>
        </w:rPr>
        <w:t>乙</w:t>
      </w:r>
      <w:r>
        <w:rPr>
          <w:rFonts w:ascii="宋体" w:hAnsi="宋体"/>
          <w:sz w:val="21"/>
          <w:szCs w:val="21"/>
        </w:rPr>
        <w:t xml:space="preserve">    </w:t>
      </w:r>
      <w:r>
        <w:rPr>
          <w:rFonts w:hint="eastAsia" w:ascii="宋体" w:hAnsi="宋体" w:cs="宋体"/>
          <w:sz w:val="21"/>
          <w:szCs w:val="21"/>
        </w:rPr>
        <w:t>方：</w:t>
      </w:r>
      <w:r>
        <w:rPr>
          <w:rFonts w:ascii="宋体" w:hAnsi="宋体"/>
          <w:sz w:val="21"/>
          <w:szCs w:val="21"/>
        </w:rPr>
        <w:t xml:space="preserve">                     </w:t>
      </w:r>
    </w:p>
    <w:p w14:paraId="15812A64">
      <w:pPr>
        <w:spacing w:line="380" w:lineRule="exact"/>
        <w:ind w:firstLine="420"/>
        <w:rPr>
          <w:rFonts w:ascii="宋体" w:hAnsi="宋体"/>
          <w:sz w:val="21"/>
          <w:szCs w:val="21"/>
        </w:rPr>
      </w:pPr>
      <w:r>
        <w:rPr>
          <w:rFonts w:hint="eastAsia" w:ascii="宋体" w:hAnsi="宋体" w:cs="宋体"/>
          <w:sz w:val="21"/>
          <w:szCs w:val="21"/>
        </w:rPr>
        <w:t>法定代表人（或授权代理人）：</w:t>
      </w:r>
      <w:r>
        <w:rPr>
          <w:rFonts w:ascii="宋体" w:hAnsi="宋体"/>
          <w:sz w:val="21"/>
          <w:szCs w:val="21"/>
        </w:rPr>
        <w:t xml:space="preserve">         </w:t>
      </w:r>
      <w:r>
        <w:rPr>
          <w:rFonts w:hint="eastAsia" w:ascii="宋体" w:hAnsi="宋体" w:cs="宋体"/>
          <w:sz w:val="21"/>
          <w:szCs w:val="21"/>
        </w:rPr>
        <w:t>法定代表人（或授权代理人）：</w:t>
      </w:r>
    </w:p>
    <w:p w14:paraId="74A658F5">
      <w:pPr>
        <w:spacing w:line="380" w:lineRule="exact"/>
        <w:ind w:firstLine="420"/>
        <w:rPr>
          <w:rFonts w:ascii="宋体" w:hAnsi="宋体"/>
          <w:sz w:val="21"/>
          <w:szCs w:val="21"/>
        </w:rPr>
      </w:pPr>
      <w:r>
        <w:rPr>
          <w:rFonts w:hint="eastAsia" w:ascii="宋体" w:hAnsi="宋体" w:cs="宋体"/>
          <w:sz w:val="21"/>
          <w:szCs w:val="21"/>
        </w:rPr>
        <w:t>地</w:t>
      </w:r>
      <w:r>
        <w:rPr>
          <w:rFonts w:ascii="宋体" w:hAnsi="宋体"/>
          <w:sz w:val="21"/>
          <w:szCs w:val="21"/>
        </w:rPr>
        <w:t xml:space="preserve">       </w:t>
      </w:r>
      <w:r>
        <w:rPr>
          <w:rFonts w:hint="eastAsia" w:ascii="宋体" w:hAnsi="宋体" w:cs="宋体"/>
          <w:sz w:val="21"/>
          <w:szCs w:val="21"/>
        </w:rPr>
        <w:t>址：</w:t>
      </w:r>
      <w:r>
        <w:rPr>
          <w:rFonts w:ascii="宋体" w:hAnsi="宋体"/>
          <w:sz w:val="21"/>
          <w:szCs w:val="21"/>
        </w:rPr>
        <w:t xml:space="preserve">                        </w:t>
      </w:r>
      <w:r>
        <w:rPr>
          <w:rFonts w:hint="eastAsia" w:ascii="宋体" w:hAnsi="宋体" w:cs="宋体"/>
          <w:sz w:val="21"/>
          <w:szCs w:val="21"/>
        </w:rPr>
        <w:t>地</w:t>
      </w:r>
      <w:r>
        <w:rPr>
          <w:rFonts w:ascii="宋体" w:hAnsi="宋体"/>
          <w:sz w:val="21"/>
          <w:szCs w:val="21"/>
        </w:rPr>
        <w:t xml:space="preserve">     </w:t>
      </w:r>
      <w:r>
        <w:rPr>
          <w:rFonts w:hint="eastAsia" w:ascii="宋体" w:hAnsi="宋体" w:cs="宋体"/>
          <w:sz w:val="21"/>
          <w:szCs w:val="21"/>
        </w:rPr>
        <w:t>址：</w:t>
      </w:r>
      <w:r>
        <w:rPr>
          <w:rFonts w:ascii="宋体" w:hAnsi="宋体"/>
          <w:sz w:val="21"/>
          <w:szCs w:val="21"/>
        </w:rPr>
        <w:t xml:space="preserve">             </w:t>
      </w:r>
    </w:p>
    <w:p w14:paraId="38008F30">
      <w:pPr>
        <w:spacing w:line="380" w:lineRule="exact"/>
        <w:ind w:firstLine="420"/>
        <w:rPr>
          <w:rFonts w:ascii="宋体" w:hAnsi="宋体"/>
          <w:sz w:val="21"/>
          <w:szCs w:val="21"/>
        </w:rPr>
      </w:pPr>
      <w:r>
        <w:rPr>
          <w:rFonts w:hint="eastAsia" w:ascii="宋体" w:hAnsi="宋体" w:cs="宋体"/>
          <w:sz w:val="21"/>
          <w:szCs w:val="21"/>
        </w:rPr>
        <w:t>电</w:t>
      </w:r>
      <w:r>
        <w:rPr>
          <w:rFonts w:ascii="宋体" w:hAnsi="宋体"/>
          <w:sz w:val="21"/>
          <w:szCs w:val="21"/>
        </w:rPr>
        <w:t xml:space="preserve">       </w:t>
      </w:r>
      <w:r>
        <w:rPr>
          <w:rFonts w:hint="eastAsia" w:ascii="宋体" w:hAnsi="宋体" w:cs="宋体"/>
          <w:sz w:val="21"/>
          <w:szCs w:val="21"/>
        </w:rPr>
        <w:t>话：</w:t>
      </w:r>
      <w:r>
        <w:rPr>
          <w:rFonts w:ascii="宋体" w:hAnsi="宋体"/>
          <w:sz w:val="21"/>
          <w:szCs w:val="21"/>
        </w:rPr>
        <w:t xml:space="preserve">                        </w:t>
      </w:r>
      <w:r>
        <w:rPr>
          <w:rFonts w:hint="eastAsia" w:ascii="宋体" w:hAnsi="宋体" w:cs="宋体"/>
          <w:sz w:val="21"/>
          <w:szCs w:val="21"/>
        </w:rPr>
        <w:t>电</w:t>
      </w:r>
      <w:r>
        <w:rPr>
          <w:rFonts w:ascii="宋体" w:hAnsi="宋体"/>
          <w:sz w:val="21"/>
          <w:szCs w:val="21"/>
        </w:rPr>
        <w:t xml:space="preserve">     </w:t>
      </w:r>
      <w:r>
        <w:rPr>
          <w:rFonts w:hint="eastAsia" w:ascii="宋体" w:hAnsi="宋体" w:cs="宋体"/>
          <w:sz w:val="21"/>
          <w:szCs w:val="21"/>
        </w:rPr>
        <w:t>话：</w:t>
      </w:r>
      <w:r>
        <w:rPr>
          <w:rFonts w:ascii="宋体" w:hAnsi="宋体"/>
          <w:sz w:val="21"/>
          <w:szCs w:val="21"/>
        </w:rPr>
        <w:t xml:space="preserve">              </w:t>
      </w:r>
    </w:p>
    <w:p w14:paraId="637C7AC2">
      <w:pPr>
        <w:spacing w:line="380" w:lineRule="exact"/>
        <w:ind w:firstLine="420"/>
        <w:rPr>
          <w:rFonts w:ascii="宋体" w:hAnsi="宋体" w:cs="宋体"/>
          <w:position w:val="2"/>
          <w:sz w:val="21"/>
          <w:szCs w:val="21"/>
        </w:rPr>
      </w:pPr>
    </w:p>
    <w:p w14:paraId="2062D448">
      <w:pPr>
        <w:spacing w:line="380" w:lineRule="exact"/>
        <w:ind w:firstLine="420"/>
        <w:rPr>
          <w:rFonts w:ascii="宋体" w:hAnsi="宋体" w:cs="宋体"/>
          <w:sz w:val="21"/>
          <w:szCs w:val="21"/>
        </w:rPr>
      </w:pPr>
    </w:p>
    <w:p w14:paraId="5135BFDF">
      <w:pPr>
        <w:spacing w:line="380" w:lineRule="exact"/>
        <w:ind w:firstLine="420"/>
        <w:jc w:val="right"/>
        <w:rPr>
          <w:rFonts w:ascii="宋体" w:hAnsi="宋体"/>
          <w:sz w:val="21"/>
          <w:szCs w:val="21"/>
        </w:rPr>
      </w:pPr>
      <w:r>
        <w:rPr>
          <w:rFonts w:hint="eastAsia" w:ascii="宋体" w:hAnsi="宋体" w:cs="宋体"/>
          <w:sz w:val="21"/>
          <w:szCs w:val="21"/>
        </w:rPr>
        <w:t>签订日期：</w:t>
      </w:r>
      <w:r>
        <w:rPr>
          <w:rFonts w:ascii="宋体" w:hAnsi="宋体"/>
          <w:sz w:val="21"/>
          <w:szCs w:val="21"/>
        </w:rPr>
        <w:t xml:space="preserve">      </w:t>
      </w:r>
      <w:r>
        <w:rPr>
          <w:rFonts w:hint="eastAsia" w:ascii="宋体" w:hAnsi="宋体" w:cs="宋体"/>
          <w:sz w:val="21"/>
          <w:szCs w:val="21"/>
        </w:rPr>
        <w:t>年</w:t>
      </w:r>
      <w:r>
        <w:rPr>
          <w:rFonts w:ascii="宋体" w:hAnsi="宋体"/>
          <w:sz w:val="21"/>
          <w:szCs w:val="21"/>
        </w:rPr>
        <w:t xml:space="preserve">    </w:t>
      </w:r>
      <w:r>
        <w:rPr>
          <w:rFonts w:hint="eastAsia" w:ascii="宋体" w:hAnsi="宋体" w:cs="宋体"/>
          <w:sz w:val="21"/>
          <w:szCs w:val="21"/>
        </w:rPr>
        <w:t>月</w:t>
      </w:r>
      <w:r>
        <w:rPr>
          <w:rFonts w:ascii="宋体" w:hAnsi="宋体"/>
          <w:sz w:val="21"/>
          <w:szCs w:val="21"/>
        </w:rPr>
        <w:t xml:space="preserve">    </w:t>
      </w:r>
      <w:r>
        <w:rPr>
          <w:rFonts w:hint="eastAsia" w:ascii="宋体" w:hAnsi="宋体" w:cs="宋体"/>
          <w:sz w:val="21"/>
          <w:szCs w:val="21"/>
        </w:rPr>
        <w:t>日</w:t>
      </w:r>
    </w:p>
    <w:p w14:paraId="5D9D3AF1">
      <w:pPr>
        <w:rPr>
          <w:rFonts w:ascii="宋体" w:hAnsi="宋体"/>
        </w:rPr>
      </w:pPr>
    </w:p>
    <w:p w14:paraId="4C63D4E6">
      <w:pPr>
        <w:rPr>
          <w:rFonts w:ascii="宋体" w:hAnsi="宋体"/>
        </w:rPr>
      </w:pPr>
    </w:p>
    <w:p w14:paraId="1F618016">
      <w:pPr>
        <w:rPr>
          <w:rFonts w:ascii="宋体" w:hAnsi="宋体"/>
        </w:rPr>
      </w:pPr>
    </w:p>
    <w:p w14:paraId="7D43D79B">
      <w:pPr>
        <w:rPr>
          <w:rFonts w:ascii="宋体" w:hAnsi="宋体"/>
        </w:rPr>
      </w:pPr>
    </w:p>
    <w:p w14:paraId="7B58A2BC">
      <w:pPr>
        <w:rPr>
          <w:rFonts w:ascii="宋体" w:hAnsi="宋体"/>
        </w:rPr>
      </w:pPr>
    </w:p>
    <w:p w14:paraId="4A09AEE6">
      <w:pPr>
        <w:rPr>
          <w:rFonts w:ascii="宋体" w:hAnsi="宋体"/>
        </w:rPr>
      </w:pPr>
    </w:p>
    <w:p w14:paraId="27DA2F5C">
      <w:pPr>
        <w:rPr>
          <w:rFonts w:ascii="宋体" w:hAnsi="宋体"/>
        </w:rPr>
      </w:pPr>
    </w:p>
    <w:p w14:paraId="3A9C159D">
      <w:pPr>
        <w:pStyle w:val="2"/>
        <w:rPr>
          <w:rFonts w:ascii="宋体" w:hAnsi="宋体"/>
        </w:rPr>
      </w:pPr>
    </w:p>
    <w:p w14:paraId="7074C288">
      <w:pPr>
        <w:rPr>
          <w:rFonts w:ascii="宋体" w:hAnsi="宋体"/>
        </w:rPr>
      </w:pPr>
    </w:p>
    <w:p w14:paraId="1B8C83CE">
      <w:pPr>
        <w:rPr>
          <w:rFonts w:ascii="宋体" w:hAnsi="宋体"/>
        </w:rPr>
      </w:pPr>
    </w:p>
    <w:p w14:paraId="7EA65376">
      <w:pPr>
        <w:rPr>
          <w:rFonts w:ascii="宋体" w:hAnsi="宋体"/>
        </w:rPr>
      </w:pPr>
    </w:p>
    <w:p w14:paraId="1EFDEC6F">
      <w:pPr>
        <w:pStyle w:val="4"/>
        <w:spacing w:line="380" w:lineRule="exact"/>
        <w:rPr>
          <w:rFonts w:hint="eastAsia" w:ascii="宋体" w:hAnsi="宋体" w:eastAsia="宋体" w:cs="宋体"/>
          <w:color w:val="auto"/>
          <w:sz w:val="21"/>
          <w:szCs w:val="21"/>
          <w:highlight w:val="none"/>
        </w:rPr>
      </w:pPr>
      <w:bookmarkStart w:id="249" w:name="_Toc525977344"/>
      <w:bookmarkStart w:id="250" w:name="_Toc522970381"/>
      <w:bookmarkStart w:id="251" w:name="_Toc27576511"/>
      <w:bookmarkStart w:id="252" w:name="_Toc12319"/>
      <w:bookmarkStart w:id="253" w:name="_Toc11195"/>
      <w:bookmarkStart w:id="254" w:name="_Toc340483327"/>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四</w:t>
      </w:r>
      <w:r>
        <w:rPr>
          <w:rFonts w:hint="eastAsia" w:ascii="宋体" w:hAnsi="宋体" w:eastAsia="宋体" w:cs="宋体"/>
          <w:color w:val="auto"/>
          <w:sz w:val="21"/>
          <w:szCs w:val="21"/>
          <w:highlight w:val="none"/>
        </w:rPr>
        <w:t>：</w:t>
      </w:r>
      <w:bookmarkEnd w:id="249"/>
      <w:bookmarkEnd w:id="250"/>
      <w:bookmarkEnd w:id="251"/>
      <w:r>
        <w:rPr>
          <w:rFonts w:hint="eastAsia" w:ascii="宋体" w:hAnsi="宋体" w:eastAsia="宋体" w:cs="宋体"/>
          <w:color w:val="auto"/>
          <w:sz w:val="21"/>
          <w:szCs w:val="21"/>
          <w:highlight w:val="none"/>
        </w:rPr>
        <w:t xml:space="preserve">  </w:t>
      </w:r>
    </w:p>
    <w:p w14:paraId="5C61CC42">
      <w:pPr>
        <w:pStyle w:val="4"/>
        <w:spacing w:line="400" w:lineRule="exact"/>
        <w:jc w:val="center"/>
        <w:rPr>
          <w:rFonts w:hint="eastAsia" w:ascii="宋体" w:hAnsi="宋体" w:eastAsia="宋体" w:cs="宋体"/>
          <w:color w:val="auto"/>
          <w:sz w:val="21"/>
          <w:szCs w:val="21"/>
          <w:highlight w:val="none"/>
        </w:rPr>
      </w:pPr>
      <w:bookmarkStart w:id="255" w:name="_Toc525977345"/>
      <w:bookmarkStart w:id="256" w:name="_Toc27576512"/>
      <w:bookmarkStart w:id="257" w:name="_Toc522970382"/>
      <w:r>
        <w:rPr>
          <w:rFonts w:hint="eastAsia" w:ascii="宋体" w:hAnsi="宋体" w:eastAsia="宋体" w:cs="宋体"/>
          <w:color w:val="auto"/>
          <w:sz w:val="21"/>
          <w:szCs w:val="21"/>
          <w:highlight w:val="none"/>
        </w:rPr>
        <w:t>关于不拖欠农民工工资的承诺(格式)</w:t>
      </w:r>
      <w:bookmarkEnd w:id="252"/>
      <w:bookmarkEnd w:id="253"/>
      <w:bookmarkEnd w:id="254"/>
      <w:bookmarkEnd w:id="255"/>
      <w:bookmarkEnd w:id="256"/>
      <w:bookmarkEnd w:id="257"/>
    </w:p>
    <w:p w14:paraId="028E39A3">
      <w:pPr>
        <w:pStyle w:val="7"/>
        <w:spacing w:line="400" w:lineRule="exact"/>
        <w:ind w:firstLine="0"/>
        <w:rPr>
          <w:rFonts w:hint="eastAsia" w:ascii="宋体" w:hAnsi="宋体" w:eastAsia="宋体" w:cs="宋体"/>
          <w:b/>
          <w:color w:val="auto"/>
          <w:sz w:val="21"/>
          <w:szCs w:val="21"/>
          <w:highlight w:val="none"/>
        </w:rPr>
      </w:pPr>
    </w:p>
    <w:p w14:paraId="3F4F1CB4">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致: </w:t>
      </w:r>
    </w:p>
    <w:p w14:paraId="161B3243">
      <w:pPr>
        <w:spacing w:line="400" w:lineRule="exact"/>
        <w:rPr>
          <w:rFonts w:hint="eastAsia" w:ascii="宋体" w:hAnsi="宋体" w:eastAsia="宋体" w:cs="宋体"/>
          <w:color w:val="auto"/>
          <w:sz w:val="21"/>
          <w:szCs w:val="21"/>
          <w:highlight w:val="none"/>
          <w:u w:val="single"/>
        </w:rPr>
      </w:pPr>
    </w:p>
    <w:p w14:paraId="7C85D777">
      <w:pPr>
        <w:pStyle w:val="7"/>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)进行投标。我方承诺:我方将保障农民工的权益，不拖欠农民工工资。如违反承诺,我方同意你方有权在进度款中扣除相应款项，用于直接支付农民工工资。</w:t>
      </w:r>
    </w:p>
    <w:p w14:paraId="596E9CC6">
      <w:pPr>
        <w:pStyle w:val="7"/>
        <w:spacing w:line="400" w:lineRule="exact"/>
        <w:jc w:val="right"/>
        <w:rPr>
          <w:rFonts w:hint="eastAsia" w:ascii="宋体" w:hAnsi="宋体" w:eastAsia="宋体" w:cs="宋体"/>
          <w:color w:val="auto"/>
          <w:sz w:val="21"/>
          <w:szCs w:val="21"/>
          <w:highlight w:val="none"/>
        </w:rPr>
      </w:pPr>
    </w:p>
    <w:p w14:paraId="70C1A02C">
      <w:pPr>
        <w:pStyle w:val="7"/>
        <w:spacing w:line="400" w:lineRule="exact"/>
        <w:ind w:right="42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投标人：      （盖单位章）</w:t>
      </w:r>
    </w:p>
    <w:p w14:paraId="71FE6095">
      <w:pPr>
        <w:pStyle w:val="7"/>
        <w:spacing w:line="400" w:lineRule="exact"/>
        <w:ind w:right="21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w:t>
      </w:r>
      <w:r>
        <w:rPr>
          <w:rFonts w:hint="eastAsia" w:ascii="宋体" w:hAnsi="宋体" w:eastAsia="宋体" w:cs="宋体"/>
          <w:color w:val="auto"/>
          <w:sz w:val="21"/>
          <w:szCs w:val="21"/>
          <w:highlight w:val="none"/>
          <w:u w:val="single"/>
        </w:rPr>
        <w:t>（签名）</w:t>
      </w:r>
    </w:p>
    <w:p w14:paraId="6ED08E77">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日   期： </w:t>
      </w:r>
    </w:p>
    <w:p w14:paraId="07C81B41">
      <w:pPr>
        <w:spacing w:line="240" w:lineRule="auto"/>
        <w:ind w:firstLine="420" w:firstLineChars="200"/>
        <w:rPr>
          <w:rFonts w:hint="eastAsia" w:ascii="宋体" w:hAnsi="宋体" w:eastAsia="宋体" w:cs="宋体"/>
          <w:snapToGrid w:val="0"/>
          <w:sz w:val="21"/>
          <w:szCs w:val="21"/>
        </w:rPr>
      </w:pPr>
    </w:p>
    <w:p w14:paraId="51172CAD">
      <w:pPr>
        <w:pStyle w:val="6"/>
        <w:rPr>
          <w:rFonts w:hint="eastAsia" w:ascii="宋体" w:hAnsi="宋体" w:eastAsia="宋体" w:cs="宋体"/>
          <w:snapToGrid w:val="0"/>
          <w:sz w:val="21"/>
          <w:szCs w:val="21"/>
        </w:rPr>
      </w:pPr>
    </w:p>
    <w:p w14:paraId="747EA78D">
      <w:pPr>
        <w:rPr>
          <w:rFonts w:hint="eastAsia" w:ascii="宋体" w:hAnsi="宋体" w:eastAsia="宋体" w:cs="宋体"/>
          <w:snapToGrid w:val="0"/>
          <w:sz w:val="21"/>
          <w:szCs w:val="21"/>
        </w:rPr>
      </w:pPr>
    </w:p>
    <w:p w14:paraId="3BC0E507">
      <w:pPr>
        <w:pStyle w:val="2"/>
        <w:rPr>
          <w:rFonts w:hint="eastAsia" w:ascii="宋体" w:hAnsi="宋体" w:eastAsia="宋体" w:cs="宋体"/>
          <w:snapToGrid w:val="0"/>
          <w:sz w:val="21"/>
          <w:szCs w:val="21"/>
        </w:rPr>
      </w:pPr>
    </w:p>
    <w:p w14:paraId="14901AFC">
      <w:pPr>
        <w:rPr>
          <w:rFonts w:hint="eastAsia" w:ascii="宋体" w:hAnsi="宋体" w:eastAsia="宋体" w:cs="宋体"/>
          <w:snapToGrid w:val="0"/>
          <w:sz w:val="21"/>
          <w:szCs w:val="21"/>
        </w:rPr>
      </w:pPr>
    </w:p>
    <w:p w14:paraId="0E393EB7">
      <w:pPr>
        <w:pStyle w:val="2"/>
        <w:rPr>
          <w:rFonts w:hint="eastAsia" w:ascii="宋体" w:hAnsi="宋体" w:eastAsia="宋体" w:cs="宋体"/>
          <w:snapToGrid w:val="0"/>
          <w:sz w:val="21"/>
          <w:szCs w:val="21"/>
        </w:rPr>
      </w:pPr>
    </w:p>
    <w:p w14:paraId="75AC6744">
      <w:pPr>
        <w:rPr>
          <w:rFonts w:hint="eastAsia" w:ascii="宋体" w:hAnsi="宋体" w:eastAsia="宋体" w:cs="宋体"/>
          <w:snapToGrid w:val="0"/>
          <w:sz w:val="21"/>
          <w:szCs w:val="21"/>
        </w:rPr>
      </w:pPr>
    </w:p>
    <w:p w14:paraId="7F9D8BF3">
      <w:pPr>
        <w:pStyle w:val="2"/>
        <w:rPr>
          <w:rFonts w:hint="eastAsia" w:ascii="宋体" w:hAnsi="宋体" w:eastAsia="宋体" w:cs="宋体"/>
          <w:snapToGrid w:val="0"/>
          <w:sz w:val="21"/>
          <w:szCs w:val="21"/>
        </w:rPr>
      </w:pPr>
    </w:p>
    <w:p w14:paraId="200E403C">
      <w:pPr>
        <w:rPr>
          <w:rFonts w:hint="eastAsia" w:ascii="宋体" w:hAnsi="宋体" w:eastAsia="宋体" w:cs="宋体"/>
          <w:snapToGrid w:val="0"/>
          <w:sz w:val="21"/>
          <w:szCs w:val="21"/>
        </w:rPr>
      </w:pPr>
    </w:p>
    <w:p w14:paraId="4B78CCA1">
      <w:pPr>
        <w:pStyle w:val="2"/>
        <w:rPr>
          <w:rFonts w:hint="eastAsia" w:ascii="宋体" w:hAnsi="宋体" w:eastAsia="宋体" w:cs="宋体"/>
          <w:snapToGrid w:val="0"/>
          <w:sz w:val="21"/>
          <w:szCs w:val="21"/>
        </w:rPr>
      </w:pPr>
    </w:p>
    <w:p w14:paraId="160D6013">
      <w:pPr>
        <w:rPr>
          <w:rFonts w:hint="eastAsia" w:ascii="宋体" w:hAnsi="宋体" w:eastAsia="宋体" w:cs="宋体"/>
          <w:snapToGrid w:val="0"/>
          <w:sz w:val="21"/>
          <w:szCs w:val="21"/>
        </w:rPr>
      </w:pPr>
    </w:p>
    <w:p w14:paraId="5FD7B509">
      <w:pPr>
        <w:pStyle w:val="2"/>
        <w:rPr>
          <w:rFonts w:hint="eastAsia" w:ascii="宋体" w:hAnsi="宋体" w:eastAsia="宋体" w:cs="宋体"/>
          <w:snapToGrid w:val="0"/>
          <w:sz w:val="21"/>
          <w:szCs w:val="21"/>
        </w:rPr>
      </w:pPr>
    </w:p>
    <w:p w14:paraId="70ED476A">
      <w:pPr>
        <w:rPr>
          <w:rFonts w:hint="eastAsia" w:ascii="宋体" w:hAnsi="宋体" w:eastAsia="宋体" w:cs="宋体"/>
          <w:snapToGrid w:val="0"/>
          <w:sz w:val="21"/>
          <w:szCs w:val="21"/>
        </w:rPr>
      </w:pPr>
    </w:p>
    <w:p w14:paraId="6B0CD3CD">
      <w:pPr>
        <w:pStyle w:val="2"/>
        <w:rPr>
          <w:rFonts w:hint="eastAsia" w:ascii="宋体" w:hAnsi="宋体" w:eastAsia="宋体" w:cs="宋体"/>
          <w:snapToGrid w:val="0"/>
          <w:sz w:val="21"/>
          <w:szCs w:val="21"/>
        </w:rPr>
      </w:pPr>
    </w:p>
    <w:p w14:paraId="5255A986">
      <w:pPr>
        <w:rPr>
          <w:rFonts w:hint="eastAsia" w:ascii="宋体" w:hAnsi="宋体" w:eastAsia="宋体" w:cs="宋体"/>
          <w:snapToGrid w:val="0"/>
          <w:sz w:val="21"/>
          <w:szCs w:val="21"/>
        </w:rPr>
      </w:pPr>
    </w:p>
    <w:p w14:paraId="6E288A49">
      <w:pPr>
        <w:rPr>
          <w:rFonts w:hint="eastAsia"/>
        </w:rPr>
      </w:pPr>
    </w:p>
    <w:p w14:paraId="16CC06A0">
      <w:pPr>
        <w:pStyle w:val="19"/>
        <w:ind w:left="0" w:leftChars="0" w:firstLine="0" w:firstLineChars="0"/>
        <w:rPr>
          <w:rFonts w:hint="eastAsia" w:ascii="宋体" w:hAnsi="宋体" w:eastAsia="宋体" w:cs="宋体"/>
          <w:color w:val="auto"/>
          <w:sz w:val="21"/>
          <w:szCs w:val="21"/>
          <w:highlight w:val="none"/>
          <w:u w:val="single"/>
        </w:rPr>
      </w:pPr>
    </w:p>
    <w:p w14:paraId="03C84767">
      <w:pPr>
        <w:pStyle w:val="18"/>
        <w:numPr>
          <w:ilvl w:val="0"/>
          <w:numId w:val="9"/>
        </w:numPr>
        <w:rPr>
          <w:rFonts w:hint="eastAsia" w:ascii="宋体" w:hAnsi="宋体" w:eastAsia="宋体" w:cs="宋体"/>
          <w:color w:val="auto"/>
          <w:sz w:val="21"/>
          <w:szCs w:val="21"/>
          <w:highlight w:val="none"/>
        </w:rPr>
      </w:pPr>
      <w:bookmarkStart w:id="258" w:name="_Toc30298"/>
      <w:bookmarkStart w:id="259" w:name="_Toc10040"/>
      <w:bookmarkStart w:id="260" w:name="_Toc523759154"/>
      <w:bookmarkStart w:id="261" w:name="_Toc470"/>
      <w:bookmarkStart w:id="262" w:name="_Toc341256074"/>
      <w:bookmarkStart w:id="263" w:name="_Toc25209"/>
      <w:r>
        <w:rPr>
          <w:rFonts w:hint="eastAsia" w:ascii="宋体" w:hAnsi="宋体" w:eastAsia="宋体" w:cs="宋体"/>
          <w:color w:val="auto"/>
          <w:sz w:val="21"/>
          <w:szCs w:val="21"/>
          <w:highlight w:val="none"/>
        </w:rPr>
        <w:t>评标方法</w:t>
      </w:r>
      <w:bookmarkEnd w:id="258"/>
      <w:bookmarkEnd w:id="259"/>
      <w:bookmarkEnd w:id="260"/>
      <w:bookmarkStart w:id="264" w:name="_Toc4084"/>
      <w:bookmarkStart w:id="265" w:name="_Toc19528"/>
    </w:p>
    <w:bookmarkEnd w:id="264"/>
    <w:bookmarkEnd w:id="265"/>
    <w:p w14:paraId="3817D48B">
      <w:pPr>
        <w:spacing w:line="360" w:lineRule="auto"/>
        <w:ind w:firstLine="413" w:firstLineChars="196"/>
        <w:outlineLvl w:val="1"/>
        <w:rPr>
          <w:rFonts w:hint="eastAsia" w:ascii="宋体" w:hAnsi="宋体" w:eastAsia="宋体" w:cs="宋体"/>
          <w:sz w:val="21"/>
          <w:szCs w:val="21"/>
        </w:rPr>
      </w:pPr>
      <w:bookmarkStart w:id="266" w:name="_Toc10551"/>
      <w:r>
        <w:rPr>
          <w:rFonts w:hint="eastAsia" w:ascii="宋体" w:hAnsi="宋体" w:eastAsia="宋体" w:cs="宋体"/>
          <w:b/>
          <w:sz w:val="21"/>
          <w:szCs w:val="21"/>
        </w:rPr>
        <w:t>一、技术标</w:t>
      </w:r>
      <w:r>
        <w:rPr>
          <w:rFonts w:hint="eastAsia" w:ascii="宋体" w:hAnsi="宋体" w:eastAsia="宋体" w:cs="宋体"/>
          <w:b/>
          <w:sz w:val="21"/>
          <w:szCs w:val="21"/>
          <w:lang w:eastAsia="zh-CN"/>
        </w:rPr>
        <w:t>：</w:t>
      </w:r>
      <w:r>
        <w:rPr>
          <w:rFonts w:hint="eastAsia" w:ascii="宋体" w:hAnsi="宋体" w:eastAsia="宋体" w:cs="宋体"/>
          <w:sz w:val="21"/>
          <w:szCs w:val="21"/>
        </w:rPr>
        <w:t>（不需要）</w:t>
      </w:r>
    </w:p>
    <w:p w14:paraId="481273E2">
      <w:pPr>
        <w:spacing w:line="360" w:lineRule="auto"/>
        <w:ind w:firstLine="413" w:firstLineChars="196"/>
        <w:outlineLvl w:val="1"/>
        <w:rPr>
          <w:rFonts w:hint="eastAsia" w:ascii="宋体" w:hAnsi="宋体" w:eastAsia="宋体" w:cs="宋体"/>
          <w:b/>
          <w:kern w:val="0"/>
          <w:sz w:val="21"/>
          <w:szCs w:val="21"/>
        </w:rPr>
      </w:pPr>
      <w:r>
        <w:rPr>
          <w:rFonts w:hint="eastAsia" w:ascii="宋体" w:hAnsi="宋体" w:eastAsia="宋体" w:cs="宋体"/>
          <w:b/>
          <w:bCs/>
          <w:kern w:val="0"/>
          <w:sz w:val="21"/>
          <w:szCs w:val="21"/>
        </w:rPr>
        <w:t>二、商务标评审：</w:t>
      </w:r>
    </w:p>
    <w:p w14:paraId="061774E0">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 符合性审查，确定有效投标报价。 </w:t>
      </w:r>
    </w:p>
    <w:p w14:paraId="32145EC8">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 凡符合招标文件、招标答疑纪要等有关招标要求，并且在招标控制总价以下的投标报价均为有效投标报价。高于招标控制价的投标报价为废标。 </w:t>
      </w:r>
    </w:p>
    <w:p w14:paraId="154A98C0">
      <w:pPr>
        <w:tabs>
          <w:tab w:val="left" w:pos="720"/>
        </w:tabs>
        <w:spacing w:line="360" w:lineRule="auto"/>
        <w:ind w:left="-90" w:leftChars="-45" w:firstLine="527" w:firstLineChars="250"/>
        <w:rPr>
          <w:rFonts w:hint="eastAsia" w:ascii="宋体" w:hAnsi="宋体" w:eastAsia="宋体" w:cs="宋体"/>
          <w:b/>
          <w:kern w:val="0"/>
          <w:sz w:val="21"/>
          <w:szCs w:val="21"/>
        </w:rPr>
      </w:pPr>
      <w:r>
        <w:rPr>
          <w:rFonts w:hint="eastAsia" w:ascii="宋体" w:hAnsi="宋体" w:eastAsia="宋体" w:cs="宋体"/>
          <w:b/>
          <w:kern w:val="0"/>
          <w:sz w:val="21"/>
          <w:szCs w:val="21"/>
        </w:rPr>
        <w:t>3. 投标报价总价得分（100分）：</w:t>
      </w:r>
    </w:p>
    <w:p w14:paraId="1822075D">
      <w:pPr>
        <w:pStyle w:val="8"/>
        <w:keepNext w:val="0"/>
        <w:keepLines w:val="0"/>
        <w:pageBreakBefore w:val="0"/>
        <w:widowControl w:val="0"/>
        <w:kinsoku/>
        <w:wordWrap/>
        <w:overflowPunct/>
        <w:topLinePunct w:val="0"/>
        <w:autoSpaceDE w:val="0"/>
        <w:autoSpaceDN w:val="0"/>
        <w:bidi w:val="0"/>
        <w:adjustRightInd/>
        <w:snapToGrid/>
        <w:spacing w:before="94" w:line="440" w:lineRule="exact"/>
        <w:ind w:left="0" w:leftChars="0" w:right="-302" w:rightChars="-151" w:firstLine="440" w:firstLineChars="200"/>
        <w:textAlignment w:val="auto"/>
        <w:rPr>
          <w:rFonts w:hint="eastAsia" w:ascii="宋体" w:hAnsi="宋体" w:eastAsia="宋体" w:cs="宋体"/>
          <w:color w:val="0000FF"/>
          <w:spacing w:val="0"/>
          <w:kern w:val="2"/>
          <w:sz w:val="22"/>
          <w:szCs w:val="22"/>
          <w:highlight w:val="none"/>
          <w:lang w:val="en-US" w:eastAsia="zh-CN" w:bidi="zh-CN"/>
        </w:rPr>
      </w:pPr>
      <w:r>
        <w:rPr>
          <w:rFonts w:hint="eastAsia" w:ascii="宋体" w:hAnsi="宋体" w:eastAsia="宋体" w:cs="宋体"/>
          <w:color w:val="0000FF"/>
          <w:spacing w:val="0"/>
          <w:sz w:val="22"/>
          <w:szCs w:val="22"/>
          <w:highlight w:val="none"/>
          <w:lang w:val="en-US" w:eastAsia="zh-CN"/>
        </w:rPr>
        <w:t>单因素评标法</w:t>
      </w:r>
      <w:r>
        <w:rPr>
          <w:rFonts w:hint="eastAsia" w:cs="宋体"/>
          <w:color w:val="0000FF"/>
          <w:spacing w:val="0"/>
          <w:sz w:val="22"/>
          <w:szCs w:val="22"/>
          <w:highlight w:val="none"/>
          <w:lang w:val="en-US" w:eastAsia="zh-CN"/>
        </w:rPr>
        <w:t>三</w:t>
      </w:r>
      <w:r>
        <w:rPr>
          <w:rFonts w:hint="eastAsia" w:ascii="宋体" w:hAnsi="宋体" w:eastAsia="宋体" w:cs="宋体"/>
          <w:color w:val="0000FF"/>
          <w:spacing w:val="0"/>
          <w:sz w:val="22"/>
          <w:szCs w:val="22"/>
          <w:highlight w:val="none"/>
          <w:lang w:val="en-US" w:eastAsia="zh-CN"/>
        </w:rPr>
        <w:t>：</w:t>
      </w:r>
      <w:r>
        <w:rPr>
          <w:rFonts w:hint="eastAsia" w:ascii="宋体" w:hAnsi="宋体" w:eastAsia="宋体" w:cs="宋体"/>
          <w:color w:val="0000FF"/>
          <w:spacing w:val="0"/>
          <w:kern w:val="2"/>
          <w:sz w:val="22"/>
          <w:szCs w:val="22"/>
          <w:highlight w:val="none"/>
          <w:lang w:val="en-US" w:eastAsia="zh-CN" w:bidi="zh-CN"/>
        </w:rPr>
        <w:t>以有效投标文件（有效投标文件是指初步评审合格的投标文件）的次低评标价（评标价是指经澄清、补正和修正算术计算错误的投标报价）为评标基准价，等于评标基准价的得最高分（100 分），并以此为基准确定其他投标人的价格得分：投标价格高于该基准价的，每高1%扣0.9分；投标价格低于该基准价的，每低1%扣0.6 分。[中间用插入法，计算过程及结果保留至小数点后第二位（小数点后第三位四舍五入）]。</w:t>
      </w:r>
    </w:p>
    <w:p w14:paraId="3B930762">
      <w:pPr>
        <w:widowControl/>
        <w:spacing w:line="360" w:lineRule="auto"/>
        <w:ind w:firstLine="480"/>
        <w:outlineLvl w:val="1"/>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三、定标 </w:t>
      </w:r>
    </w:p>
    <w:p w14:paraId="76C0920F">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（1）各投标单位最终得分=投标报价总价得分； </w:t>
      </w:r>
    </w:p>
    <w:p w14:paraId="06B552BB">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（2）在所有有效投标文件中得分最高的投标单位为第一中标候选人，其他依次为第二、三中标候选人。 </w:t>
      </w:r>
    </w:p>
    <w:p w14:paraId="379B52AB">
      <w:pPr>
        <w:tabs>
          <w:tab w:val="left" w:pos="720"/>
        </w:tabs>
        <w:spacing w:line="360" w:lineRule="auto"/>
        <w:ind w:left="-90" w:leftChars="-45"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（3）如有两家或两家以上投标单位得分相同且为最高分，则确定投标报价低的单位为第一中标候选人，若报价也相同，则按照送达标书签到的顺序抽签确定第一中标候选人。</w:t>
      </w:r>
    </w:p>
    <w:p w14:paraId="46D386DD">
      <w:pPr>
        <w:widowControl/>
        <w:spacing w:line="360" w:lineRule="auto"/>
        <w:ind w:firstLine="480"/>
        <w:rPr>
          <w:rFonts w:hint="eastAsia" w:ascii="宋体" w:hAnsi="宋体" w:eastAsia="宋体" w:cs="宋体"/>
          <w:b/>
          <w:kern w:val="0"/>
          <w:sz w:val="21"/>
          <w:szCs w:val="21"/>
        </w:rPr>
      </w:pPr>
      <w:r>
        <w:rPr>
          <w:rFonts w:hint="eastAsia" w:ascii="宋体" w:hAnsi="宋体" w:eastAsia="宋体" w:cs="宋体"/>
          <w:b/>
          <w:bCs/>
          <w:kern w:val="0"/>
          <w:sz w:val="21"/>
          <w:szCs w:val="21"/>
        </w:rPr>
        <w:t>注：开标、评标、定标流程：</w:t>
      </w:r>
      <w:r>
        <w:rPr>
          <w:rFonts w:hint="eastAsia" w:ascii="宋体" w:hAnsi="宋体" w:eastAsia="宋体" w:cs="宋体"/>
          <w:kern w:val="0"/>
          <w:sz w:val="21"/>
          <w:szCs w:val="21"/>
        </w:rPr>
        <w:t>投标人员身份核验--投标文件密封检查--投标文件唱标--资格审查、清标---定标。</w:t>
      </w:r>
    </w:p>
    <w:p w14:paraId="7114955C">
      <w:pPr>
        <w:pStyle w:val="37"/>
        <w:outlineLvl w:val="1"/>
        <w:rPr>
          <w:rFonts w:hint="eastAsia" w:ascii="宋体" w:hAnsi="宋体" w:eastAsia="宋体" w:cs="宋体"/>
          <w:color w:val="auto"/>
          <w:sz w:val="21"/>
          <w:szCs w:val="21"/>
        </w:rPr>
      </w:pPr>
      <w:r>
        <w:rPr>
          <w:rFonts w:hint="eastAsia" w:ascii="宋体" w:hAnsi="宋体" w:eastAsia="宋体" w:cs="宋体"/>
          <w:b/>
          <w:color w:val="auto"/>
          <w:sz w:val="21"/>
          <w:szCs w:val="21"/>
        </w:rPr>
        <w:t>提醒：</w:t>
      </w:r>
    </w:p>
    <w:p w14:paraId="77F665EC">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 xml:space="preserve">1、凡涉及投标单位无故离开开标会议室导致其未参加评分办法及相应系数抽取此类质疑等一概不予受理。 </w:t>
      </w:r>
    </w:p>
    <w:p w14:paraId="6BA2BD05">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2、根据苏建招办（2017）7号文“省招标办关于印发《江苏省房屋建筑和市政基础设施工程施工招标评标入围、报价评审和预选招标规则》的通知”，本项目评标入围方法招标人采用方法一：全部入围。 进入评标入围环节的投标人全部进入后续评标程序。</w:t>
      </w:r>
    </w:p>
    <w:p w14:paraId="35B6312D">
      <w:pPr>
        <w:widowControl/>
        <w:spacing w:line="360" w:lineRule="auto"/>
        <w:ind w:firstLine="480"/>
        <w:jc w:val="left"/>
        <w:rPr>
          <w:rFonts w:hint="eastAsia" w:ascii="宋体" w:hAnsi="宋体" w:eastAsia="宋体" w:cs="宋体"/>
          <w:b/>
          <w:kern w:val="0"/>
          <w:sz w:val="21"/>
          <w:szCs w:val="21"/>
        </w:rPr>
      </w:pPr>
      <w:r>
        <w:rPr>
          <w:rFonts w:hint="eastAsia" w:ascii="宋体" w:hAnsi="宋体" w:eastAsia="宋体" w:cs="宋体"/>
          <w:b/>
          <w:kern w:val="0"/>
          <w:sz w:val="21"/>
          <w:szCs w:val="21"/>
        </w:rPr>
        <w:t>3、评标结束后，无论是否出现招投标当事人异议、投诉以及评委评审和计算错误情形，评标基准价均不重新计算。</w:t>
      </w:r>
    </w:p>
    <w:p w14:paraId="18A6EB7B">
      <w:pPr>
        <w:widowControl/>
        <w:spacing w:line="360" w:lineRule="auto"/>
        <w:ind w:firstLine="480"/>
        <w:jc w:val="lef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二、资格审查</w:t>
      </w:r>
      <w:bookmarkEnd w:id="266"/>
    </w:p>
    <w:p w14:paraId="3E2194E1">
      <w:pPr>
        <w:snapToGrid w:val="0"/>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本项目采用资格后审形式，资格审查资料如下</w:t>
      </w:r>
      <w:r>
        <w:rPr>
          <w:rFonts w:hint="eastAsia" w:ascii="宋体" w:hAnsi="宋体" w:eastAsia="宋体" w:cs="宋体"/>
          <w:color w:val="auto"/>
          <w:sz w:val="21"/>
          <w:szCs w:val="21"/>
          <w:highlight w:val="none"/>
        </w:rPr>
        <w:t>：</w:t>
      </w:r>
    </w:p>
    <w:p w14:paraId="65BD5AEA">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）法定代表人资格证明书及本人身份证；或法定代表人授权委托书、委托代理人身份证；</w:t>
      </w:r>
    </w:p>
    <w:p w14:paraId="4A1F9A98">
      <w:pPr>
        <w:snapToGrid w:val="0"/>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）企业营业执照、企业资质证书、企业安全生产许可证</w:t>
      </w:r>
      <w:r>
        <w:rPr>
          <w:rFonts w:hint="eastAsia" w:ascii="宋体" w:hAnsi="宋体" w:eastAsia="宋体" w:cs="宋体"/>
          <w:color w:val="auto"/>
          <w:sz w:val="21"/>
          <w:szCs w:val="21"/>
          <w:highlight w:val="none"/>
          <w:lang w:eastAsia="zh-CN"/>
        </w:rPr>
        <w:t>；</w:t>
      </w:r>
    </w:p>
    <w:p w14:paraId="1678F71C">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pacing w:val="0"/>
          <w:sz w:val="21"/>
          <w:szCs w:val="21"/>
          <w:highlight w:val="none"/>
          <w:lang w:val="en-US" w:eastAsia="zh-CN"/>
        </w:rPr>
        <w:t>投标项目负责人注册证书以及安全生产考核合格证书（B证）</w:t>
      </w:r>
      <w:r>
        <w:rPr>
          <w:rFonts w:hint="eastAsia" w:ascii="宋体" w:hAnsi="宋体" w:eastAsia="宋体" w:cs="宋体"/>
          <w:color w:val="auto"/>
          <w:sz w:val="21"/>
          <w:szCs w:val="21"/>
          <w:highlight w:val="none"/>
        </w:rPr>
        <w:t>；</w:t>
      </w:r>
    </w:p>
    <w:p w14:paraId="06FB2B32">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）委托代理人及项目负责人的社会保障机构盖章的养老保险缴纳证明（缴纳时间为</w:t>
      </w:r>
      <w:r>
        <w:rPr>
          <w:rFonts w:hint="eastAsia" w:ascii="宋体" w:hAnsi="宋体" w:eastAsia="宋体" w:cs="宋体"/>
          <w:color w:val="auto"/>
          <w:sz w:val="21"/>
          <w:szCs w:val="21"/>
          <w:highlight w:val="none"/>
          <w:lang w:eastAsia="zh-CN"/>
        </w:rPr>
        <w:t>202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月至今，其中任一月均可）；</w:t>
      </w:r>
    </w:p>
    <w:p w14:paraId="14C80084">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项目经理无在建承诺</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r>
        <w:rPr>
          <w:rFonts w:hint="eastAsia" w:ascii="宋体" w:hAnsi="宋体" w:eastAsia="宋体" w:cs="宋体"/>
          <w:color w:val="auto"/>
          <w:sz w:val="21"/>
          <w:szCs w:val="21"/>
          <w:highlight w:val="none"/>
          <w:lang w:val="en-US" w:eastAsia="zh-CN"/>
        </w:rPr>
        <w:t>；</w:t>
      </w:r>
    </w:p>
    <w:p w14:paraId="1FCB2FD5">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（6）投标保证金银行电子汇款相关凭证。</w:t>
      </w:r>
    </w:p>
    <w:p w14:paraId="0E1C606A">
      <w:pPr>
        <w:snapToGrid w:val="0"/>
        <w:spacing w:line="440" w:lineRule="exact"/>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p>
    <w:p w14:paraId="409812A7">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①本项目不接受联合体投标。</w:t>
      </w:r>
    </w:p>
    <w:p w14:paraId="0CF818DA">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②资格审查资料必须按上述顺序提供</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套复印件装订成册，装订成册的资料与原件（身份证可提供复印件并加盖公章；营业执照</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资质证书</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安全生产许可证</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建造师证、安全生产考核合格证（B 证）可提供带有二维码的打印件）一起必须装袋、密封（注：密封袋骑缝处加盖报名单位公章）、标志（注：密封袋上注明工程名称、报名单位全称并加盖报名单位公章和法定代表人印章）后在投标截止时间前一次性递交，投标截止时间后不再接受补充资料（未能按要求提供以上密封资料的，招标人将拒绝其参与投标）。</w:t>
      </w:r>
    </w:p>
    <w:p w14:paraId="574C513F">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③本项目所有的资审资料，都必须在有效期内。如有关的资审资料在年审中的，开标时必须出具发证单位证明的原件。</w:t>
      </w:r>
      <w:bookmarkStart w:id="267" w:name="_Toc23530"/>
    </w:p>
    <w:bookmarkEnd w:id="267"/>
    <w:p w14:paraId="20C2F59F">
      <w:pPr>
        <w:spacing w:line="360" w:lineRule="exact"/>
        <w:ind w:firstLine="420" w:firstLineChars="200"/>
        <w:outlineLvl w:val="1"/>
        <w:rPr>
          <w:rFonts w:hint="eastAsia" w:ascii="宋体" w:hAnsi="宋体" w:eastAsia="宋体" w:cs="宋体"/>
          <w:color w:val="auto"/>
          <w:sz w:val="21"/>
          <w:szCs w:val="21"/>
          <w:highlight w:val="none"/>
        </w:rPr>
      </w:pPr>
    </w:p>
    <w:p w14:paraId="1D897CA6">
      <w:pPr>
        <w:spacing w:line="360" w:lineRule="exact"/>
        <w:ind w:firstLine="420" w:firstLineChars="200"/>
        <w:outlineLvl w:val="1"/>
        <w:rPr>
          <w:rFonts w:hint="eastAsia" w:ascii="宋体" w:hAnsi="宋体" w:eastAsia="宋体" w:cs="宋体"/>
          <w:color w:val="auto"/>
          <w:sz w:val="21"/>
          <w:szCs w:val="21"/>
          <w:highlight w:val="none"/>
        </w:rPr>
      </w:pPr>
    </w:p>
    <w:p w14:paraId="45EBEB02">
      <w:pPr>
        <w:spacing w:line="360" w:lineRule="exact"/>
        <w:ind w:firstLine="422" w:firstLineChars="200"/>
        <w:outlineLvl w:val="1"/>
        <w:rPr>
          <w:rFonts w:hint="eastAsia" w:ascii="宋体" w:hAnsi="宋体" w:eastAsia="宋体" w:cs="宋体"/>
          <w:snapToGrid w:val="0"/>
          <w:color w:val="auto"/>
          <w:sz w:val="21"/>
          <w:szCs w:val="21"/>
          <w:highlight w:val="none"/>
        </w:rPr>
      </w:pPr>
      <w:r>
        <w:rPr>
          <w:rFonts w:hint="eastAsia" w:ascii="宋体" w:hAnsi="宋体" w:eastAsia="宋体" w:cs="宋体"/>
          <w:b/>
          <w:color w:val="auto"/>
          <w:sz w:val="21"/>
          <w:szCs w:val="21"/>
          <w:highlight w:val="none"/>
        </w:rPr>
        <w:br w:type="page"/>
      </w:r>
      <w:bookmarkEnd w:id="261"/>
      <w:bookmarkEnd w:id="262"/>
      <w:bookmarkEnd w:id="263"/>
      <w:bookmarkStart w:id="268" w:name="第03章评标办法综合评估法01"/>
      <w:bookmarkEnd w:id="268"/>
      <w:r>
        <w:rPr>
          <w:rFonts w:hint="eastAsia" w:ascii="宋体" w:hAnsi="宋体" w:eastAsia="宋体" w:cs="宋体"/>
          <w:color w:val="auto"/>
          <w:sz w:val="21"/>
          <w:szCs w:val="21"/>
          <w:highlight w:val="none"/>
        </w:rPr>
        <w:t xml:space="preserve"> </w:t>
      </w:r>
    </w:p>
    <w:p w14:paraId="2E647A86">
      <w:pPr>
        <w:pStyle w:val="3"/>
        <w:numPr>
          <w:ilvl w:val="0"/>
          <w:numId w:val="0"/>
        </w:numPr>
        <w:jc w:val="center"/>
        <w:rPr>
          <w:rFonts w:hint="eastAsia" w:ascii="宋体" w:hAnsi="宋体" w:eastAsia="宋体" w:cs="宋体"/>
          <w:b/>
          <w:snapToGrid w:val="0"/>
          <w:color w:val="auto"/>
          <w:sz w:val="21"/>
          <w:szCs w:val="21"/>
          <w:highlight w:val="none"/>
        </w:rPr>
      </w:pPr>
      <w:bookmarkStart w:id="269" w:name="_Toc14064"/>
      <w:r>
        <w:rPr>
          <w:rFonts w:hint="eastAsia" w:ascii="宋体" w:hAnsi="宋体" w:eastAsia="宋体" w:cs="宋体"/>
          <w:b/>
          <w:snapToGrid w:val="0"/>
          <w:color w:val="auto"/>
          <w:sz w:val="21"/>
          <w:szCs w:val="21"/>
          <w:highlight w:val="none"/>
        </w:rPr>
        <w:t>第五章 　投 标 文 件(格式)</w:t>
      </w:r>
      <w:bookmarkEnd w:id="269"/>
    </w:p>
    <w:p w14:paraId="2C0F0FE0">
      <w:pPr>
        <w:tabs>
          <w:tab w:val="left" w:pos="0"/>
        </w:tabs>
        <w:spacing w:line="420" w:lineRule="auto"/>
        <w:jc w:val="center"/>
        <w:rPr>
          <w:rFonts w:hint="eastAsia" w:ascii="宋体" w:hAnsi="宋体" w:eastAsia="宋体" w:cs="宋体"/>
          <w:b/>
          <w:bCs/>
          <w:color w:val="auto"/>
          <w:sz w:val="21"/>
          <w:szCs w:val="21"/>
          <w:highlight w:val="none"/>
        </w:rPr>
      </w:pPr>
    </w:p>
    <w:p w14:paraId="7387AE2B">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（封面）</w:t>
      </w:r>
    </w:p>
    <w:p w14:paraId="1EE69BDC">
      <w:pPr>
        <w:tabs>
          <w:tab w:val="left" w:pos="0"/>
        </w:tabs>
        <w:spacing w:line="420" w:lineRule="auto"/>
        <w:jc w:val="center"/>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工程</w:t>
      </w:r>
    </w:p>
    <w:p w14:paraId="3736EE51">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施 工 投 标 文 件</w:t>
      </w:r>
    </w:p>
    <w:p w14:paraId="711DE68B">
      <w:pPr>
        <w:tabs>
          <w:tab w:val="left" w:pos="0"/>
        </w:tabs>
        <w:spacing w:line="420" w:lineRule="auto"/>
        <w:rPr>
          <w:rFonts w:hint="eastAsia" w:ascii="宋体" w:hAnsi="宋体" w:eastAsia="宋体" w:cs="宋体"/>
          <w:b/>
          <w:bCs/>
          <w:color w:val="auto"/>
          <w:sz w:val="21"/>
          <w:szCs w:val="21"/>
          <w:highlight w:val="none"/>
        </w:rPr>
      </w:pPr>
    </w:p>
    <w:p w14:paraId="7DAAD774">
      <w:pPr>
        <w:tabs>
          <w:tab w:val="left" w:pos="0"/>
        </w:tabs>
        <w:spacing w:line="420" w:lineRule="auto"/>
        <w:rPr>
          <w:rFonts w:hint="eastAsia" w:ascii="宋体" w:hAnsi="宋体" w:eastAsia="宋体" w:cs="宋体"/>
          <w:color w:val="auto"/>
          <w:sz w:val="21"/>
          <w:szCs w:val="21"/>
          <w:highlight w:val="none"/>
        </w:rPr>
      </w:pPr>
    </w:p>
    <w:p w14:paraId="45D1B29B">
      <w:pPr>
        <w:tabs>
          <w:tab w:val="left" w:pos="0"/>
        </w:tabs>
        <w:spacing w:line="420" w:lineRule="auto"/>
        <w:rPr>
          <w:rFonts w:hint="eastAsia" w:ascii="宋体" w:hAnsi="宋体" w:eastAsia="宋体" w:cs="宋体"/>
          <w:color w:val="auto"/>
          <w:sz w:val="21"/>
          <w:szCs w:val="21"/>
          <w:highlight w:val="none"/>
        </w:rPr>
      </w:pPr>
    </w:p>
    <w:p w14:paraId="0F777BE3">
      <w:pPr>
        <w:tabs>
          <w:tab w:val="left" w:pos="0"/>
        </w:tabs>
        <w:spacing w:line="420" w:lineRule="auto"/>
        <w:rPr>
          <w:rFonts w:hint="eastAsia" w:ascii="宋体" w:hAnsi="宋体" w:eastAsia="宋体" w:cs="宋体"/>
          <w:color w:val="auto"/>
          <w:sz w:val="21"/>
          <w:szCs w:val="21"/>
          <w:highlight w:val="none"/>
        </w:rPr>
      </w:pPr>
    </w:p>
    <w:p w14:paraId="24A7E7DA">
      <w:pPr>
        <w:tabs>
          <w:tab w:val="left" w:pos="0"/>
        </w:tabs>
        <w:spacing w:line="420" w:lineRule="auto"/>
        <w:rPr>
          <w:rFonts w:hint="eastAsia" w:ascii="宋体" w:hAnsi="宋体" w:eastAsia="宋体" w:cs="宋体"/>
          <w:color w:val="auto"/>
          <w:sz w:val="21"/>
          <w:szCs w:val="21"/>
          <w:highlight w:val="none"/>
        </w:rPr>
      </w:pPr>
    </w:p>
    <w:p w14:paraId="7F58CF86">
      <w:pPr>
        <w:tabs>
          <w:tab w:val="left" w:pos="0"/>
        </w:tabs>
        <w:spacing w:line="420" w:lineRule="auto"/>
        <w:rPr>
          <w:rFonts w:hint="eastAsia" w:ascii="宋体" w:hAnsi="宋体" w:eastAsia="宋体" w:cs="宋体"/>
          <w:b/>
          <w:color w:val="auto"/>
          <w:sz w:val="21"/>
          <w:szCs w:val="21"/>
          <w:highlight w:val="none"/>
        </w:rPr>
      </w:pPr>
    </w:p>
    <w:p w14:paraId="2F7ECDF1">
      <w:pPr>
        <w:tabs>
          <w:tab w:val="left" w:pos="0"/>
        </w:tabs>
        <w:spacing w:line="420" w:lineRule="auto"/>
        <w:ind w:firstLine="1008" w:firstLineChars="478"/>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投  标  人 (章) </w:t>
      </w:r>
      <w:r>
        <w:rPr>
          <w:rFonts w:hint="eastAsia" w:ascii="宋体" w:hAnsi="宋体" w:eastAsia="宋体" w:cs="宋体"/>
          <w:b/>
          <w:color w:val="auto"/>
          <w:sz w:val="21"/>
          <w:szCs w:val="21"/>
          <w:highlight w:val="none"/>
          <w:u w:val="single"/>
        </w:rPr>
        <w:t xml:space="preserve">                                    </w:t>
      </w:r>
    </w:p>
    <w:p w14:paraId="586C6B8A">
      <w:pPr>
        <w:tabs>
          <w:tab w:val="left" w:pos="0"/>
        </w:tabs>
        <w:spacing w:line="420" w:lineRule="auto"/>
        <w:rPr>
          <w:rFonts w:hint="eastAsia" w:ascii="宋体" w:hAnsi="宋体" w:eastAsia="宋体" w:cs="宋体"/>
          <w:b/>
          <w:color w:val="auto"/>
          <w:sz w:val="21"/>
          <w:szCs w:val="21"/>
          <w:highlight w:val="none"/>
        </w:rPr>
      </w:pPr>
    </w:p>
    <w:p w14:paraId="079C62B6">
      <w:pPr>
        <w:tabs>
          <w:tab w:val="left" w:pos="0"/>
        </w:tabs>
        <w:spacing w:line="420" w:lineRule="auto"/>
        <w:rPr>
          <w:rFonts w:hint="eastAsia" w:ascii="宋体" w:hAnsi="宋体" w:eastAsia="宋体" w:cs="宋体"/>
          <w:b/>
          <w:color w:val="auto"/>
          <w:sz w:val="21"/>
          <w:szCs w:val="21"/>
          <w:highlight w:val="none"/>
        </w:rPr>
      </w:pPr>
    </w:p>
    <w:p w14:paraId="5C20FCBA">
      <w:pPr>
        <w:tabs>
          <w:tab w:val="left" w:pos="0"/>
        </w:tabs>
        <w:spacing w:line="420" w:lineRule="auto"/>
        <w:ind w:firstLine="1008" w:firstLineChars="478"/>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法定代表或</w:t>
      </w:r>
    </w:p>
    <w:p w14:paraId="3751075F">
      <w:pPr>
        <w:tabs>
          <w:tab w:val="left" w:pos="0"/>
        </w:tabs>
        <w:spacing w:line="420" w:lineRule="auto"/>
        <w:ind w:firstLine="940" w:firstLineChars="446"/>
        <w:rPr>
          <w:rFonts w:hint="eastAsia" w:ascii="宋体" w:hAnsi="宋体" w:eastAsia="宋体" w:cs="宋体"/>
          <w:color w:val="auto"/>
          <w:sz w:val="21"/>
          <w:szCs w:val="21"/>
          <w:highlight w:val="none"/>
          <w:u w:val="single"/>
        </w:rPr>
      </w:pPr>
      <w:r>
        <w:rPr>
          <w:rFonts w:hint="eastAsia" w:ascii="宋体" w:hAnsi="宋体" w:eastAsia="宋体" w:cs="宋体"/>
          <w:b/>
          <w:color w:val="auto"/>
          <w:sz w:val="21"/>
          <w:szCs w:val="21"/>
          <w:highlight w:val="none"/>
        </w:rPr>
        <w:t>委托代理人(签章)</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p>
    <w:p w14:paraId="2479D4C8">
      <w:pPr>
        <w:tabs>
          <w:tab w:val="left" w:pos="0"/>
        </w:tabs>
        <w:spacing w:line="420" w:lineRule="auto"/>
        <w:ind w:firstLine="1260" w:firstLineChars="600"/>
        <w:rPr>
          <w:rFonts w:hint="eastAsia" w:ascii="宋体" w:hAnsi="宋体" w:eastAsia="宋体" w:cs="宋体"/>
          <w:color w:val="auto"/>
          <w:sz w:val="21"/>
          <w:szCs w:val="21"/>
          <w:highlight w:val="none"/>
          <w:u w:val="single"/>
        </w:rPr>
      </w:pPr>
    </w:p>
    <w:p w14:paraId="1B422A6C">
      <w:pPr>
        <w:tabs>
          <w:tab w:val="left" w:pos="0"/>
        </w:tabs>
        <w:spacing w:line="420" w:lineRule="auto"/>
        <w:ind w:firstLine="1260" w:firstLineChars="600"/>
        <w:rPr>
          <w:rFonts w:hint="eastAsia" w:ascii="宋体" w:hAnsi="宋体" w:eastAsia="宋体" w:cs="宋体"/>
          <w:color w:val="auto"/>
          <w:sz w:val="21"/>
          <w:szCs w:val="21"/>
          <w:highlight w:val="none"/>
          <w:u w:val="single"/>
        </w:rPr>
      </w:pPr>
    </w:p>
    <w:p w14:paraId="3198C008">
      <w:pPr>
        <w:tabs>
          <w:tab w:val="left" w:pos="0"/>
        </w:tabs>
        <w:spacing w:line="420" w:lineRule="auto"/>
        <w:ind w:firstLine="1265" w:firstLineChars="600"/>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日期：</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月</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日</w:t>
      </w:r>
    </w:p>
    <w:p w14:paraId="071D3CFA">
      <w:pPr>
        <w:jc w:val="center"/>
        <w:outlineLvl w:val="1"/>
        <w:rPr>
          <w:rFonts w:hint="eastAsia" w:ascii="宋体" w:hAnsi="宋体" w:eastAsia="宋体" w:cs="宋体"/>
          <w:color w:val="auto"/>
          <w:sz w:val="21"/>
          <w:szCs w:val="21"/>
          <w:highlight w:val="none"/>
        </w:rPr>
      </w:pPr>
      <w:bookmarkStart w:id="270" w:name="_Toc18336"/>
      <w:bookmarkStart w:id="271" w:name="_Toc644"/>
    </w:p>
    <w:bookmarkEnd w:id="270"/>
    <w:bookmarkEnd w:id="271"/>
    <w:p w14:paraId="38BBD3E0">
      <w:pPr>
        <w:rPr>
          <w:rFonts w:hint="eastAsia" w:ascii="宋体" w:hAnsi="宋体" w:eastAsia="宋体" w:cs="宋体"/>
          <w:color w:val="auto"/>
          <w:sz w:val="21"/>
          <w:szCs w:val="21"/>
          <w:highlight w:val="none"/>
        </w:rPr>
      </w:pPr>
    </w:p>
    <w:p w14:paraId="1E359EA9">
      <w:pPr>
        <w:pStyle w:val="6"/>
        <w:rPr>
          <w:rFonts w:hint="eastAsia" w:ascii="宋体" w:hAnsi="宋体" w:eastAsia="宋体" w:cs="宋体"/>
          <w:color w:val="auto"/>
          <w:sz w:val="21"/>
          <w:szCs w:val="21"/>
          <w:highlight w:val="none"/>
        </w:rPr>
      </w:pPr>
    </w:p>
    <w:p w14:paraId="7081A469">
      <w:pPr>
        <w:rPr>
          <w:rFonts w:hint="eastAsia" w:ascii="宋体" w:hAnsi="宋体" w:eastAsia="宋体" w:cs="宋体"/>
          <w:color w:val="auto"/>
          <w:sz w:val="21"/>
          <w:szCs w:val="21"/>
          <w:highlight w:val="none"/>
        </w:rPr>
      </w:pPr>
    </w:p>
    <w:p w14:paraId="146E1852">
      <w:pPr>
        <w:pStyle w:val="6"/>
        <w:rPr>
          <w:rFonts w:hint="eastAsia" w:ascii="宋体" w:hAnsi="宋体" w:eastAsia="宋体" w:cs="宋体"/>
          <w:color w:val="auto"/>
          <w:sz w:val="21"/>
          <w:szCs w:val="21"/>
          <w:highlight w:val="none"/>
        </w:rPr>
      </w:pPr>
    </w:p>
    <w:p w14:paraId="4BFAA54D">
      <w:pPr>
        <w:rPr>
          <w:rFonts w:hint="eastAsia" w:ascii="宋体" w:hAnsi="宋体" w:eastAsia="宋体" w:cs="宋体"/>
          <w:color w:val="auto"/>
          <w:sz w:val="21"/>
          <w:szCs w:val="21"/>
          <w:highlight w:val="none"/>
        </w:rPr>
      </w:pPr>
    </w:p>
    <w:p w14:paraId="51F57EF5">
      <w:pPr>
        <w:pStyle w:val="6"/>
        <w:rPr>
          <w:rFonts w:hint="eastAsia" w:ascii="宋体" w:hAnsi="宋体" w:eastAsia="宋体" w:cs="宋体"/>
          <w:color w:val="auto"/>
          <w:sz w:val="21"/>
          <w:szCs w:val="21"/>
          <w:highlight w:val="none"/>
        </w:rPr>
      </w:pPr>
    </w:p>
    <w:p w14:paraId="225A686F">
      <w:pPr>
        <w:rPr>
          <w:rFonts w:hint="eastAsia" w:ascii="宋体" w:hAnsi="宋体" w:eastAsia="宋体" w:cs="宋体"/>
          <w:color w:val="auto"/>
          <w:sz w:val="21"/>
          <w:szCs w:val="21"/>
          <w:highlight w:val="none"/>
        </w:rPr>
      </w:pPr>
    </w:p>
    <w:p w14:paraId="69843F32">
      <w:pPr>
        <w:pStyle w:val="6"/>
        <w:rPr>
          <w:rFonts w:hint="eastAsia" w:ascii="宋体" w:hAnsi="宋体" w:eastAsia="宋体" w:cs="宋体"/>
          <w:color w:val="auto"/>
          <w:sz w:val="21"/>
          <w:szCs w:val="21"/>
          <w:highlight w:val="none"/>
        </w:rPr>
      </w:pPr>
    </w:p>
    <w:p w14:paraId="73641D11">
      <w:pPr>
        <w:rPr>
          <w:rFonts w:hint="eastAsia" w:ascii="宋体" w:hAnsi="宋体" w:eastAsia="宋体" w:cs="宋体"/>
          <w:color w:val="auto"/>
          <w:sz w:val="21"/>
          <w:szCs w:val="21"/>
          <w:highlight w:val="none"/>
        </w:rPr>
      </w:pPr>
    </w:p>
    <w:p w14:paraId="3E75650C">
      <w:pPr>
        <w:pStyle w:val="6"/>
        <w:rPr>
          <w:rFonts w:hint="eastAsia" w:ascii="宋体" w:hAnsi="宋体" w:eastAsia="宋体" w:cs="宋体"/>
          <w:color w:val="auto"/>
          <w:sz w:val="21"/>
          <w:szCs w:val="21"/>
          <w:highlight w:val="none"/>
        </w:rPr>
      </w:pPr>
    </w:p>
    <w:p w14:paraId="57B1D7A3">
      <w:pPr>
        <w:rPr>
          <w:rFonts w:hint="eastAsia" w:ascii="宋体" w:hAnsi="宋体" w:eastAsia="宋体" w:cs="宋体"/>
          <w:color w:val="auto"/>
          <w:sz w:val="21"/>
          <w:szCs w:val="21"/>
          <w:highlight w:val="none"/>
        </w:rPr>
      </w:pPr>
    </w:p>
    <w:p w14:paraId="2B827F5E">
      <w:pPr>
        <w:pStyle w:val="6"/>
        <w:rPr>
          <w:rFonts w:hint="eastAsia" w:ascii="宋体" w:hAnsi="宋体" w:eastAsia="宋体" w:cs="宋体"/>
          <w:color w:val="auto"/>
          <w:sz w:val="21"/>
          <w:szCs w:val="21"/>
          <w:highlight w:val="none"/>
        </w:rPr>
      </w:pPr>
    </w:p>
    <w:p w14:paraId="333DED01">
      <w:pPr>
        <w:rPr>
          <w:rFonts w:hint="eastAsia" w:ascii="宋体" w:hAnsi="宋体" w:eastAsia="宋体" w:cs="宋体"/>
          <w:color w:val="auto"/>
          <w:sz w:val="21"/>
          <w:szCs w:val="21"/>
          <w:highlight w:val="none"/>
        </w:rPr>
      </w:pPr>
    </w:p>
    <w:p w14:paraId="501C7065">
      <w:pPr>
        <w:pStyle w:val="6"/>
        <w:rPr>
          <w:rFonts w:hint="eastAsia" w:ascii="宋体" w:hAnsi="宋体" w:eastAsia="宋体" w:cs="宋体"/>
          <w:color w:val="auto"/>
          <w:sz w:val="21"/>
          <w:szCs w:val="21"/>
          <w:highlight w:val="none"/>
        </w:rPr>
      </w:pPr>
    </w:p>
    <w:p w14:paraId="5FCE6278">
      <w:pPr>
        <w:rPr>
          <w:rFonts w:hint="eastAsia" w:ascii="宋体" w:hAnsi="宋体" w:eastAsia="宋体" w:cs="宋体"/>
          <w:color w:val="auto"/>
          <w:sz w:val="21"/>
          <w:szCs w:val="21"/>
          <w:highlight w:val="none"/>
        </w:rPr>
      </w:pPr>
    </w:p>
    <w:p w14:paraId="18470261">
      <w:pPr>
        <w:pStyle w:val="6"/>
        <w:rPr>
          <w:rFonts w:hint="eastAsia" w:ascii="宋体" w:hAnsi="宋体" w:eastAsia="宋体" w:cs="宋体"/>
          <w:color w:val="auto"/>
          <w:sz w:val="21"/>
          <w:szCs w:val="21"/>
          <w:highlight w:val="none"/>
        </w:rPr>
      </w:pPr>
    </w:p>
    <w:p w14:paraId="3BE563EF">
      <w:pPr>
        <w:rPr>
          <w:rFonts w:hint="eastAsia" w:ascii="宋体" w:hAnsi="宋体" w:eastAsia="宋体" w:cs="宋体"/>
          <w:color w:val="auto"/>
          <w:sz w:val="21"/>
          <w:szCs w:val="21"/>
          <w:highlight w:val="none"/>
        </w:rPr>
      </w:pPr>
    </w:p>
    <w:p w14:paraId="09F29ED4">
      <w:pPr>
        <w:pStyle w:val="6"/>
        <w:spacing w:line="480" w:lineRule="auto"/>
        <w:rPr>
          <w:rFonts w:hint="eastAsia"/>
        </w:rPr>
      </w:pPr>
    </w:p>
    <w:p w14:paraId="34989C5A">
      <w:pPr>
        <w:spacing w:line="48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目录</w:t>
      </w:r>
    </w:p>
    <w:p w14:paraId="58ABEFB8">
      <w:pPr>
        <w:spacing w:line="480" w:lineRule="auto"/>
        <w:jc w:val="center"/>
        <w:rPr>
          <w:rFonts w:hint="eastAsia" w:ascii="宋体" w:hAnsi="宋体" w:eastAsia="宋体" w:cs="宋体"/>
          <w:color w:val="auto"/>
          <w:sz w:val="21"/>
          <w:szCs w:val="21"/>
          <w:highlight w:val="none"/>
        </w:rPr>
      </w:pPr>
    </w:p>
    <w:p w14:paraId="3FF18FB3">
      <w:pPr>
        <w:spacing w:line="480" w:lineRule="auto"/>
        <w:rPr>
          <w:rFonts w:hint="eastAsia" w:ascii="宋体" w:hAnsi="宋体" w:eastAsia="宋体" w:cs="宋体"/>
          <w:color w:val="auto"/>
          <w:sz w:val="21"/>
          <w:szCs w:val="21"/>
          <w:highlight w:val="none"/>
        </w:rPr>
      </w:pPr>
    </w:p>
    <w:p w14:paraId="6B62734B">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一、投标函</w:t>
      </w:r>
    </w:p>
    <w:p w14:paraId="43E5CC17">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二、法定代表人资格证明书</w:t>
      </w:r>
    </w:p>
    <w:p w14:paraId="580620B0">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三、授权委托书</w:t>
      </w:r>
    </w:p>
    <w:p w14:paraId="268C9F06">
      <w:pPr>
        <w:adjustRightInd w:val="0"/>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四、报价汇总表</w:t>
      </w:r>
    </w:p>
    <w:p w14:paraId="7B411709">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五、工程量清单报价表</w:t>
      </w:r>
    </w:p>
    <w:p w14:paraId="6847DEF1">
      <w:pPr>
        <w:pStyle w:val="6"/>
        <w:ind w:left="0" w:leftChars="0" w:firstLine="0" w:firstLineChars="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六、投标单位认为所需提供的材料</w:t>
      </w:r>
    </w:p>
    <w:p w14:paraId="65623A66">
      <w:pPr>
        <w:rPr>
          <w:rFonts w:hint="eastAsia" w:ascii="宋体" w:hAnsi="宋体" w:eastAsia="宋体" w:cs="宋体"/>
          <w:color w:val="auto"/>
          <w:sz w:val="21"/>
          <w:szCs w:val="21"/>
          <w:highlight w:val="none"/>
        </w:rPr>
      </w:pPr>
    </w:p>
    <w:p w14:paraId="59DD1231">
      <w:pPr>
        <w:pStyle w:val="11"/>
        <w:jc w:val="center"/>
        <w:rPr>
          <w:rFonts w:hint="eastAsia" w:ascii="宋体" w:hAnsi="宋体" w:eastAsia="宋体" w:cs="宋体"/>
          <w:color w:val="auto"/>
          <w:sz w:val="21"/>
          <w:szCs w:val="21"/>
          <w:highlight w:val="none"/>
        </w:rPr>
      </w:pPr>
    </w:p>
    <w:p w14:paraId="2AD20B0E">
      <w:pPr>
        <w:pStyle w:val="11"/>
        <w:jc w:val="center"/>
        <w:rPr>
          <w:rFonts w:hint="eastAsia" w:ascii="宋体" w:hAnsi="宋体" w:eastAsia="宋体" w:cs="宋体"/>
          <w:color w:val="auto"/>
          <w:sz w:val="21"/>
          <w:szCs w:val="21"/>
          <w:highlight w:val="none"/>
        </w:rPr>
      </w:pPr>
    </w:p>
    <w:p w14:paraId="61FCB575">
      <w:pPr>
        <w:pStyle w:val="11"/>
        <w:jc w:val="center"/>
        <w:rPr>
          <w:rFonts w:hint="eastAsia" w:ascii="宋体" w:hAnsi="宋体" w:eastAsia="宋体" w:cs="宋体"/>
          <w:color w:val="auto"/>
          <w:sz w:val="21"/>
          <w:szCs w:val="21"/>
          <w:highlight w:val="none"/>
        </w:rPr>
      </w:pPr>
    </w:p>
    <w:p w14:paraId="7E54594E">
      <w:pPr>
        <w:pStyle w:val="11"/>
        <w:jc w:val="center"/>
        <w:rPr>
          <w:rFonts w:hint="eastAsia" w:ascii="宋体" w:hAnsi="宋体" w:eastAsia="宋体" w:cs="宋体"/>
          <w:color w:val="auto"/>
          <w:sz w:val="21"/>
          <w:szCs w:val="21"/>
          <w:highlight w:val="none"/>
        </w:rPr>
      </w:pPr>
    </w:p>
    <w:p w14:paraId="6509041B">
      <w:pPr>
        <w:pStyle w:val="11"/>
        <w:jc w:val="center"/>
        <w:rPr>
          <w:rFonts w:hint="eastAsia" w:ascii="宋体" w:hAnsi="宋体" w:eastAsia="宋体" w:cs="宋体"/>
          <w:color w:val="auto"/>
          <w:sz w:val="21"/>
          <w:szCs w:val="21"/>
          <w:highlight w:val="none"/>
        </w:rPr>
      </w:pPr>
    </w:p>
    <w:p w14:paraId="4FD536AA">
      <w:pPr>
        <w:pStyle w:val="11"/>
        <w:jc w:val="center"/>
        <w:rPr>
          <w:rFonts w:hint="eastAsia" w:ascii="宋体" w:hAnsi="宋体" w:eastAsia="宋体" w:cs="宋体"/>
          <w:color w:val="auto"/>
          <w:sz w:val="21"/>
          <w:szCs w:val="21"/>
          <w:highlight w:val="none"/>
        </w:rPr>
      </w:pPr>
    </w:p>
    <w:p w14:paraId="54B697A1">
      <w:pPr>
        <w:pStyle w:val="11"/>
        <w:rPr>
          <w:rFonts w:hint="eastAsia" w:ascii="宋体" w:hAnsi="宋体" w:eastAsia="宋体" w:cs="宋体"/>
          <w:color w:val="auto"/>
          <w:sz w:val="21"/>
          <w:szCs w:val="21"/>
          <w:highlight w:val="none"/>
        </w:rPr>
      </w:pPr>
    </w:p>
    <w:p w14:paraId="37B0946F">
      <w:pPr>
        <w:pStyle w:val="11"/>
        <w:rPr>
          <w:rFonts w:hint="eastAsia" w:ascii="宋体" w:hAnsi="宋体" w:eastAsia="宋体" w:cs="宋体"/>
          <w:color w:val="auto"/>
          <w:sz w:val="21"/>
          <w:szCs w:val="21"/>
          <w:highlight w:val="none"/>
        </w:rPr>
      </w:pPr>
    </w:p>
    <w:p w14:paraId="67F12063">
      <w:pPr>
        <w:pStyle w:val="11"/>
        <w:rPr>
          <w:rFonts w:hint="eastAsia" w:ascii="宋体" w:hAnsi="宋体" w:eastAsia="宋体" w:cs="宋体"/>
          <w:color w:val="auto"/>
          <w:sz w:val="21"/>
          <w:szCs w:val="21"/>
          <w:highlight w:val="none"/>
        </w:rPr>
      </w:pPr>
    </w:p>
    <w:p w14:paraId="0A6AAAA0">
      <w:pPr>
        <w:pStyle w:val="11"/>
        <w:rPr>
          <w:rFonts w:hint="eastAsia" w:ascii="宋体" w:hAnsi="宋体" w:eastAsia="宋体" w:cs="宋体"/>
          <w:color w:val="auto"/>
          <w:sz w:val="21"/>
          <w:szCs w:val="21"/>
          <w:highlight w:val="none"/>
        </w:rPr>
      </w:pPr>
    </w:p>
    <w:p w14:paraId="2B91CAC0">
      <w:pPr>
        <w:pStyle w:val="11"/>
        <w:rPr>
          <w:rFonts w:hint="eastAsia" w:ascii="宋体" w:hAnsi="宋体" w:eastAsia="宋体" w:cs="宋体"/>
          <w:color w:val="auto"/>
          <w:sz w:val="21"/>
          <w:szCs w:val="21"/>
          <w:highlight w:val="none"/>
        </w:rPr>
      </w:pPr>
    </w:p>
    <w:p w14:paraId="53BFD6D4">
      <w:pPr>
        <w:pStyle w:val="11"/>
        <w:rPr>
          <w:rFonts w:hint="eastAsia" w:ascii="宋体" w:hAnsi="宋体" w:eastAsia="宋体" w:cs="宋体"/>
          <w:color w:val="auto"/>
          <w:sz w:val="21"/>
          <w:szCs w:val="21"/>
          <w:highlight w:val="none"/>
        </w:rPr>
      </w:pPr>
    </w:p>
    <w:p w14:paraId="34737C56">
      <w:pPr>
        <w:pStyle w:val="11"/>
        <w:rPr>
          <w:rFonts w:hint="eastAsia" w:ascii="宋体" w:hAnsi="宋体" w:eastAsia="宋体" w:cs="宋体"/>
          <w:color w:val="auto"/>
          <w:sz w:val="21"/>
          <w:szCs w:val="21"/>
          <w:highlight w:val="none"/>
        </w:rPr>
      </w:pPr>
    </w:p>
    <w:p w14:paraId="587FA7D2">
      <w:pPr>
        <w:pStyle w:val="11"/>
        <w:rPr>
          <w:rFonts w:hint="eastAsia" w:ascii="宋体" w:hAnsi="宋体" w:eastAsia="宋体" w:cs="宋体"/>
          <w:color w:val="auto"/>
          <w:sz w:val="21"/>
          <w:szCs w:val="21"/>
          <w:highlight w:val="none"/>
        </w:rPr>
      </w:pPr>
    </w:p>
    <w:p w14:paraId="4E38FCA5">
      <w:pPr>
        <w:pStyle w:val="11"/>
        <w:rPr>
          <w:rFonts w:hint="eastAsia" w:ascii="宋体" w:hAnsi="宋体" w:eastAsia="宋体" w:cs="宋体"/>
          <w:color w:val="auto"/>
          <w:sz w:val="21"/>
          <w:szCs w:val="21"/>
          <w:highlight w:val="none"/>
        </w:rPr>
      </w:pPr>
    </w:p>
    <w:p w14:paraId="16A5E93D">
      <w:pPr>
        <w:pStyle w:val="11"/>
        <w:rPr>
          <w:rFonts w:hint="eastAsia" w:ascii="宋体" w:hAnsi="宋体" w:eastAsia="宋体" w:cs="宋体"/>
          <w:color w:val="auto"/>
          <w:sz w:val="21"/>
          <w:szCs w:val="21"/>
          <w:highlight w:val="none"/>
        </w:rPr>
      </w:pPr>
    </w:p>
    <w:p w14:paraId="7C423FF2">
      <w:pPr>
        <w:pStyle w:val="11"/>
        <w:rPr>
          <w:rFonts w:hint="eastAsia" w:ascii="宋体" w:hAnsi="宋体" w:eastAsia="宋体" w:cs="宋体"/>
          <w:color w:val="auto"/>
          <w:sz w:val="21"/>
          <w:szCs w:val="21"/>
          <w:highlight w:val="none"/>
        </w:rPr>
      </w:pPr>
    </w:p>
    <w:p w14:paraId="26D063BF">
      <w:pPr>
        <w:pStyle w:val="11"/>
        <w:rPr>
          <w:rFonts w:hint="eastAsia" w:ascii="宋体" w:hAnsi="宋体" w:eastAsia="宋体" w:cs="宋体"/>
          <w:color w:val="auto"/>
          <w:sz w:val="21"/>
          <w:szCs w:val="21"/>
          <w:highlight w:val="none"/>
        </w:rPr>
      </w:pPr>
    </w:p>
    <w:p w14:paraId="0BCB88E8">
      <w:pPr>
        <w:pStyle w:val="11"/>
        <w:rPr>
          <w:rFonts w:hint="eastAsia" w:ascii="宋体" w:hAnsi="宋体" w:eastAsia="宋体" w:cs="宋体"/>
          <w:color w:val="auto"/>
          <w:sz w:val="21"/>
          <w:szCs w:val="21"/>
          <w:highlight w:val="none"/>
        </w:rPr>
      </w:pPr>
    </w:p>
    <w:p w14:paraId="2F01DE30">
      <w:pPr>
        <w:pStyle w:val="4"/>
        <w:rPr>
          <w:rFonts w:hint="eastAsia" w:ascii="宋体" w:hAnsi="宋体" w:eastAsia="宋体" w:cs="宋体"/>
          <w:b/>
          <w:color w:val="auto"/>
          <w:sz w:val="21"/>
          <w:szCs w:val="21"/>
          <w:highlight w:val="none"/>
        </w:rPr>
      </w:pPr>
      <w:bookmarkStart w:id="272" w:name="_Toc11055338"/>
      <w:bookmarkStart w:id="273" w:name="_Toc29334"/>
      <w:bookmarkStart w:id="274" w:name="_Toc31710"/>
    </w:p>
    <w:p w14:paraId="42E6E2EB">
      <w:pPr>
        <w:rPr>
          <w:rFonts w:hint="eastAsia" w:ascii="宋体" w:hAnsi="宋体" w:eastAsia="宋体" w:cs="宋体"/>
          <w:color w:val="auto"/>
          <w:sz w:val="21"/>
          <w:szCs w:val="21"/>
          <w:highlight w:val="none"/>
        </w:rPr>
      </w:pPr>
    </w:p>
    <w:p w14:paraId="0BDEDFCF">
      <w:pPr>
        <w:rPr>
          <w:rFonts w:hint="eastAsia" w:ascii="宋体" w:hAnsi="宋体" w:eastAsia="宋体" w:cs="宋体"/>
          <w:color w:val="auto"/>
          <w:sz w:val="21"/>
          <w:szCs w:val="21"/>
          <w:highlight w:val="none"/>
        </w:rPr>
      </w:pPr>
    </w:p>
    <w:p w14:paraId="1DD52E8D">
      <w:pPr>
        <w:rPr>
          <w:rFonts w:hint="eastAsia" w:ascii="宋体" w:hAnsi="宋体" w:eastAsia="宋体" w:cs="宋体"/>
          <w:color w:val="auto"/>
          <w:sz w:val="21"/>
          <w:szCs w:val="21"/>
          <w:highlight w:val="none"/>
        </w:rPr>
      </w:pPr>
    </w:p>
    <w:p w14:paraId="6E595DA6">
      <w:pPr>
        <w:rPr>
          <w:rFonts w:hint="eastAsia" w:ascii="宋体" w:hAnsi="宋体" w:eastAsia="宋体" w:cs="宋体"/>
          <w:color w:val="auto"/>
          <w:sz w:val="21"/>
          <w:szCs w:val="21"/>
          <w:highlight w:val="none"/>
        </w:rPr>
      </w:pPr>
    </w:p>
    <w:p w14:paraId="2E00E39A">
      <w:pPr>
        <w:pStyle w:val="6"/>
        <w:rPr>
          <w:rFonts w:hint="eastAsia" w:ascii="宋体" w:hAnsi="宋体" w:eastAsia="宋体" w:cs="宋体"/>
          <w:color w:val="auto"/>
          <w:sz w:val="21"/>
          <w:szCs w:val="21"/>
          <w:highlight w:val="none"/>
        </w:rPr>
      </w:pPr>
    </w:p>
    <w:p w14:paraId="333E3D08">
      <w:pPr>
        <w:rPr>
          <w:rFonts w:hint="eastAsia" w:ascii="宋体" w:hAnsi="宋体" w:eastAsia="宋体" w:cs="宋体"/>
          <w:color w:val="auto"/>
          <w:sz w:val="21"/>
          <w:szCs w:val="21"/>
          <w:highlight w:val="none"/>
        </w:rPr>
      </w:pPr>
    </w:p>
    <w:p w14:paraId="6E931B3F">
      <w:pPr>
        <w:pStyle w:val="6"/>
        <w:rPr>
          <w:rFonts w:hint="eastAsia"/>
        </w:rPr>
      </w:pPr>
    </w:p>
    <w:p w14:paraId="306BBF4F">
      <w:pPr>
        <w:rPr>
          <w:rFonts w:hint="eastAsia" w:ascii="宋体" w:hAnsi="宋体" w:eastAsia="宋体" w:cs="宋体"/>
          <w:color w:val="auto"/>
          <w:sz w:val="21"/>
          <w:szCs w:val="21"/>
          <w:highlight w:val="none"/>
        </w:rPr>
      </w:pPr>
    </w:p>
    <w:p w14:paraId="79F002A9">
      <w:pPr>
        <w:pStyle w:val="4"/>
        <w:rPr>
          <w:rFonts w:hint="eastAsia" w:ascii="宋体" w:hAnsi="宋体" w:eastAsia="宋体" w:cs="宋体"/>
          <w:b/>
          <w:color w:val="auto"/>
          <w:sz w:val="21"/>
          <w:szCs w:val="21"/>
          <w:highlight w:val="none"/>
        </w:rPr>
      </w:pPr>
      <w:bookmarkStart w:id="275" w:name="_Toc15211"/>
      <w:r>
        <w:rPr>
          <w:rFonts w:hint="eastAsia" w:ascii="宋体" w:hAnsi="宋体" w:eastAsia="宋体" w:cs="宋体"/>
          <w:b/>
          <w:color w:val="auto"/>
          <w:sz w:val="21"/>
          <w:szCs w:val="21"/>
          <w:highlight w:val="none"/>
        </w:rPr>
        <w:t>一、投标函</w:t>
      </w:r>
      <w:bookmarkEnd w:id="272"/>
      <w:bookmarkEnd w:id="273"/>
      <w:bookmarkEnd w:id="274"/>
      <w:bookmarkEnd w:id="275"/>
    </w:p>
    <w:p w14:paraId="2C2FC1EE">
      <w:pPr>
        <w:rPr>
          <w:rFonts w:hint="eastAsia" w:ascii="宋体" w:hAnsi="宋体" w:eastAsia="宋体" w:cs="宋体"/>
          <w:color w:val="auto"/>
          <w:sz w:val="21"/>
          <w:szCs w:val="21"/>
          <w:highlight w:val="none"/>
        </w:rPr>
      </w:pPr>
    </w:p>
    <w:p w14:paraId="3465D617">
      <w:pPr>
        <w:numPr>
          <w:ilvl w:val="0"/>
          <w:numId w:val="10"/>
        </w:num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投标函</w:t>
      </w:r>
    </w:p>
    <w:p w14:paraId="74C7406F">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(招标人名称)：</w:t>
      </w:r>
    </w:p>
    <w:p w14:paraId="512E0E05">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1.我方已仔细研究了</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(项目名称)招标文件的全部内容，愿意以人民币(大写)</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元)的投标总报价，</w:t>
      </w:r>
      <w:r>
        <w:rPr>
          <w:rFonts w:hint="eastAsia" w:ascii="宋体" w:hAnsi="宋体" w:eastAsia="宋体" w:cs="宋体"/>
          <w:b w:val="0"/>
          <w:bCs/>
          <w:color w:val="auto"/>
          <w:sz w:val="21"/>
          <w:szCs w:val="21"/>
          <w:highlight w:val="none"/>
        </w:rPr>
        <w:t>工期：</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日历天。</w:t>
      </w:r>
      <w:r>
        <w:rPr>
          <w:rFonts w:hint="eastAsia" w:ascii="宋体" w:hAnsi="宋体" w:eastAsia="宋体" w:cs="宋体"/>
          <w:color w:val="auto"/>
          <w:sz w:val="21"/>
          <w:szCs w:val="21"/>
          <w:highlight w:val="none"/>
        </w:rPr>
        <w:t>按合同约定实施和完成承包工程，修补工程中的任何缺陷，工程质量达到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D7E1FE2">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2.我方承诺在投标有效期内不补充、修改、替代或者撤回本投标文件。</w:t>
      </w:r>
    </w:p>
    <w:p w14:paraId="258E6F00">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3.投标保证金，报名时已缴纳。</w:t>
      </w:r>
    </w:p>
    <w:p w14:paraId="2487370E">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4.如我方中标：</w:t>
      </w:r>
    </w:p>
    <w:p w14:paraId="1557208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(1)我方承诺在收到中标通知书后，在中标通知书规定的期限内与你方签订合同；</w:t>
      </w:r>
    </w:p>
    <w:p w14:paraId="651504A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(2)随同本投标函递交的投标函附录属于合同文件的组成部分；</w:t>
      </w:r>
    </w:p>
    <w:p w14:paraId="38011D4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(3)我方承诺按照招标文件规定向你方递交履约担保；</w:t>
      </w:r>
    </w:p>
    <w:p w14:paraId="3047D83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(4)我方承诺在合同约定的期限内完成并移交全部合同工程。</w:t>
      </w:r>
    </w:p>
    <w:p w14:paraId="1A3AAA1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5.我方在此声明，所递交的投标文件及有关资料内容完整、真实和准确，且不存在第2章投标人须知第1.4.3款规定的任何一种情形。</w:t>
      </w:r>
    </w:p>
    <w:p w14:paraId="299B4C2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6.</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(其它补充说明)。</w:t>
      </w:r>
    </w:p>
    <w:p w14:paraId="70D6F11D">
      <w:pPr>
        <w:spacing w:line="360" w:lineRule="auto"/>
        <w:rPr>
          <w:rFonts w:hint="eastAsia" w:ascii="宋体" w:hAnsi="宋体" w:eastAsia="宋体" w:cs="宋体"/>
          <w:color w:val="auto"/>
          <w:sz w:val="21"/>
          <w:szCs w:val="21"/>
          <w:highlight w:val="none"/>
        </w:rPr>
      </w:pPr>
    </w:p>
    <w:p w14:paraId="1469ABB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投标人：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(盖单位章)</w:t>
      </w:r>
    </w:p>
    <w:p w14:paraId="21A6B72E">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法定代表人或其委托代理人：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(签字)</w:t>
      </w:r>
    </w:p>
    <w:p w14:paraId="2B1B4F01">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地址：</w:t>
      </w:r>
      <w:r>
        <w:rPr>
          <w:rFonts w:hint="eastAsia" w:ascii="宋体" w:hAnsi="宋体" w:eastAsia="宋体" w:cs="宋体"/>
          <w:color w:val="auto"/>
          <w:sz w:val="21"/>
          <w:szCs w:val="21"/>
          <w:highlight w:val="none"/>
          <w:u w:val="single"/>
        </w:rPr>
        <w:t xml:space="preserve">                              </w:t>
      </w:r>
    </w:p>
    <w:p w14:paraId="76C3C7A2">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网址：</w:t>
      </w:r>
      <w:r>
        <w:rPr>
          <w:rFonts w:hint="eastAsia" w:ascii="宋体" w:hAnsi="宋体" w:eastAsia="宋体" w:cs="宋体"/>
          <w:color w:val="auto"/>
          <w:sz w:val="21"/>
          <w:szCs w:val="21"/>
          <w:highlight w:val="none"/>
          <w:u w:val="single"/>
        </w:rPr>
        <w:t xml:space="preserve">                              </w:t>
      </w:r>
    </w:p>
    <w:p w14:paraId="0B945467">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电话：</w:t>
      </w:r>
      <w:r>
        <w:rPr>
          <w:rFonts w:hint="eastAsia" w:ascii="宋体" w:hAnsi="宋体" w:eastAsia="宋体" w:cs="宋体"/>
          <w:color w:val="auto"/>
          <w:sz w:val="21"/>
          <w:szCs w:val="21"/>
          <w:highlight w:val="none"/>
          <w:u w:val="single"/>
        </w:rPr>
        <w:t xml:space="preserve">                              </w:t>
      </w:r>
    </w:p>
    <w:p w14:paraId="6D44BBC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传真：</w:t>
      </w:r>
      <w:r>
        <w:rPr>
          <w:rFonts w:hint="eastAsia" w:ascii="宋体" w:hAnsi="宋体" w:eastAsia="宋体" w:cs="宋体"/>
          <w:color w:val="auto"/>
          <w:sz w:val="21"/>
          <w:szCs w:val="21"/>
          <w:highlight w:val="none"/>
          <w:u w:val="single"/>
        </w:rPr>
        <w:t xml:space="preserve">                              </w:t>
      </w:r>
    </w:p>
    <w:p w14:paraId="4D0B271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邮政编码：</w:t>
      </w:r>
      <w:r>
        <w:rPr>
          <w:rFonts w:hint="eastAsia" w:ascii="宋体" w:hAnsi="宋体" w:eastAsia="宋体" w:cs="宋体"/>
          <w:color w:val="auto"/>
          <w:sz w:val="21"/>
          <w:szCs w:val="21"/>
          <w:highlight w:val="none"/>
          <w:u w:val="single"/>
        </w:rPr>
        <w:t xml:space="preserve">                          </w:t>
      </w:r>
    </w:p>
    <w:p w14:paraId="36F54805">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日</w:t>
      </w:r>
    </w:p>
    <w:p w14:paraId="386D7A89">
      <w:pPr>
        <w:spacing w:line="360" w:lineRule="auto"/>
        <w:rPr>
          <w:rFonts w:hint="eastAsia" w:ascii="宋体" w:hAnsi="宋体" w:eastAsia="宋体" w:cs="宋体"/>
          <w:color w:val="auto"/>
          <w:sz w:val="21"/>
          <w:szCs w:val="21"/>
          <w:highlight w:val="none"/>
        </w:rPr>
      </w:pPr>
    </w:p>
    <w:p w14:paraId="5F0C3293">
      <w:pPr>
        <w:spacing w:line="360" w:lineRule="auto"/>
        <w:rPr>
          <w:rFonts w:hint="eastAsia" w:ascii="宋体" w:hAnsi="宋体" w:eastAsia="宋体" w:cs="宋体"/>
          <w:color w:val="auto"/>
          <w:sz w:val="21"/>
          <w:szCs w:val="21"/>
          <w:highlight w:val="none"/>
        </w:rPr>
      </w:pPr>
    </w:p>
    <w:p w14:paraId="4D6ADF67">
      <w:pPr>
        <w:spacing w:line="360" w:lineRule="auto"/>
        <w:rPr>
          <w:rFonts w:hint="eastAsia" w:ascii="宋体" w:hAnsi="宋体" w:eastAsia="宋体" w:cs="宋体"/>
          <w:color w:val="auto"/>
          <w:sz w:val="21"/>
          <w:szCs w:val="21"/>
          <w:highlight w:val="none"/>
        </w:rPr>
      </w:pPr>
    </w:p>
    <w:p w14:paraId="5BF46625">
      <w:pPr>
        <w:spacing w:line="360" w:lineRule="auto"/>
        <w:rPr>
          <w:rFonts w:hint="eastAsia" w:ascii="宋体" w:hAnsi="宋体" w:eastAsia="宋体" w:cs="宋体"/>
          <w:color w:val="auto"/>
          <w:sz w:val="21"/>
          <w:szCs w:val="21"/>
          <w:highlight w:val="none"/>
        </w:rPr>
      </w:pPr>
    </w:p>
    <w:p w14:paraId="295E7308">
      <w:pPr>
        <w:spacing w:line="360" w:lineRule="auto"/>
        <w:rPr>
          <w:rFonts w:hint="eastAsia" w:ascii="宋体" w:hAnsi="宋体" w:eastAsia="宋体" w:cs="宋体"/>
          <w:color w:val="auto"/>
          <w:sz w:val="21"/>
          <w:szCs w:val="21"/>
          <w:highlight w:val="none"/>
        </w:rPr>
      </w:pPr>
    </w:p>
    <w:p w14:paraId="639A41B5">
      <w:pPr>
        <w:spacing w:line="360" w:lineRule="auto"/>
        <w:rPr>
          <w:rFonts w:hint="eastAsia" w:ascii="宋体" w:hAnsi="宋体" w:eastAsia="宋体" w:cs="宋体"/>
          <w:color w:val="auto"/>
          <w:sz w:val="21"/>
          <w:szCs w:val="21"/>
          <w:highlight w:val="none"/>
        </w:rPr>
      </w:pPr>
    </w:p>
    <w:p w14:paraId="4ED92489">
      <w:pPr>
        <w:spacing w:line="360" w:lineRule="auto"/>
        <w:rPr>
          <w:rFonts w:hint="eastAsia" w:ascii="宋体" w:hAnsi="宋体" w:eastAsia="宋体" w:cs="宋体"/>
          <w:color w:val="auto"/>
          <w:sz w:val="21"/>
          <w:szCs w:val="21"/>
          <w:highlight w:val="none"/>
        </w:rPr>
      </w:pPr>
    </w:p>
    <w:p w14:paraId="07B148DC">
      <w:pPr>
        <w:spacing w:line="360" w:lineRule="auto"/>
        <w:rPr>
          <w:rFonts w:hint="eastAsia" w:ascii="宋体" w:hAnsi="宋体" w:eastAsia="宋体" w:cs="宋体"/>
          <w:color w:val="auto"/>
          <w:sz w:val="21"/>
          <w:szCs w:val="21"/>
          <w:highlight w:val="none"/>
        </w:rPr>
      </w:pPr>
    </w:p>
    <w:p w14:paraId="5FCA6D2D">
      <w:pPr>
        <w:spacing w:line="360" w:lineRule="auto"/>
        <w:rPr>
          <w:rFonts w:hint="eastAsia" w:ascii="宋体" w:hAnsi="宋体" w:eastAsia="宋体" w:cs="宋体"/>
          <w:color w:val="auto"/>
          <w:sz w:val="21"/>
          <w:szCs w:val="21"/>
          <w:highlight w:val="none"/>
        </w:rPr>
      </w:pPr>
    </w:p>
    <w:p w14:paraId="6904ACFF">
      <w:pPr>
        <w:pStyle w:val="2"/>
        <w:rPr>
          <w:rFonts w:hint="eastAsia" w:ascii="宋体" w:hAnsi="宋体" w:eastAsia="宋体" w:cs="宋体"/>
          <w:color w:val="auto"/>
          <w:sz w:val="21"/>
          <w:szCs w:val="21"/>
          <w:highlight w:val="none"/>
        </w:rPr>
      </w:pPr>
    </w:p>
    <w:p w14:paraId="6C3F9FB5">
      <w:pPr>
        <w:pStyle w:val="11"/>
        <w:adjustRightInd w:val="0"/>
        <w:snapToGrid w:val="0"/>
        <w:spacing w:line="300" w:lineRule="auto"/>
        <w:rPr>
          <w:rFonts w:hint="eastAsia" w:ascii="宋体" w:hAnsi="宋体" w:eastAsia="宋体" w:cs="宋体"/>
          <w:b/>
          <w:color w:val="auto"/>
          <w:sz w:val="21"/>
          <w:szCs w:val="21"/>
          <w:highlight w:val="none"/>
        </w:rPr>
      </w:pPr>
    </w:p>
    <w:p w14:paraId="776A459D">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76" w:name="_Toc11055339"/>
    </w:p>
    <w:p w14:paraId="4CAA56A8">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77" w:name="_Toc17956"/>
      <w:r>
        <w:rPr>
          <w:rFonts w:hint="eastAsia" w:ascii="宋体" w:hAnsi="宋体" w:eastAsia="宋体" w:cs="宋体"/>
          <w:b/>
          <w:color w:val="auto"/>
          <w:sz w:val="21"/>
          <w:szCs w:val="21"/>
          <w:highlight w:val="none"/>
        </w:rPr>
        <w:t>二、法定代表人资格证明书</w:t>
      </w:r>
      <w:bookmarkEnd w:id="276"/>
      <w:bookmarkEnd w:id="277"/>
    </w:p>
    <w:p w14:paraId="7EE5C77D">
      <w:pPr>
        <w:pStyle w:val="11"/>
        <w:adjustRightInd w:val="0"/>
        <w:snapToGrid w:val="0"/>
        <w:spacing w:line="300" w:lineRule="auto"/>
        <w:jc w:val="center"/>
        <w:rPr>
          <w:rFonts w:hint="eastAsia" w:ascii="宋体" w:hAnsi="宋体" w:eastAsia="宋体" w:cs="宋体"/>
          <w:b/>
          <w:color w:val="auto"/>
          <w:sz w:val="21"/>
          <w:szCs w:val="21"/>
          <w:highlight w:val="none"/>
        </w:rPr>
      </w:pPr>
    </w:p>
    <w:p w14:paraId="4CC09542">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w:t>
      </w:r>
    </w:p>
    <w:p w14:paraId="2FF712F5">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171E8379">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             性别：          年龄：          职务：</w:t>
      </w:r>
    </w:p>
    <w:p w14:paraId="22EDD0AD">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的法定代表人。为施工、竣工和保修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的工程，签署上述工程的投标文件、进行合同谈判、签署合同和处理与之有关的一切事务。</w:t>
      </w:r>
    </w:p>
    <w:p w14:paraId="6F9952CA">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E151447">
      <w:pPr>
        <w:pStyle w:val="11"/>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14:paraId="4385AD7E">
      <w:pPr>
        <w:pStyle w:val="11"/>
        <w:adjustRightInd w:val="0"/>
        <w:snapToGrid w:val="0"/>
        <w:spacing w:line="300" w:lineRule="auto"/>
        <w:rPr>
          <w:rFonts w:hint="eastAsia" w:ascii="宋体" w:hAnsi="宋体" w:eastAsia="宋体" w:cs="宋体"/>
          <w:color w:val="auto"/>
          <w:sz w:val="21"/>
          <w:szCs w:val="21"/>
          <w:highlight w:val="none"/>
        </w:rPr>
      </w:pPr>
    </w:p>
    <w:p w14:paraId="31AFC039">
      <w:pPr>
        <w:pStyle w:val="11"/>
        <w:adjustRightInd w:val="0"/>
        <w:snapToGrid w:val="0"/>
        <w:spacing w:line="30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14:paraId="42CCE4C2">
      <w:pPr>
        <w:pStyle w:val="11"/>
        <w:adjustRightInd w:val="0"/>
        <w:snapToGrid w:val="0"/>
        <w:spacing w:line="300" w:lineRule="auto"/>
        <w:jc w:val="center"/>
        <w:rPr>
          <w:rFonts w:hint="eastAsia" w:ascii="宋体" w:hAnsi="宋体" w:eastAsia="宋体" w:cs="宋体"/>
          <w:b/>
          <w:color w:val="auto"/>
          <w:sz w:val="21"/>
          <w:szCs w:val="21"/>
          <w:highlight w:val="none"/>
        </w:rPr>
      </w:pPr>
    </w:p>
    <w:p w14:paraId="312C4579">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14:paraId="030EE38C">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78" w:name="_Toc11055340"/>
      <w:bookmarkStart w:id="279" w:name="_Toc8048"/>
      <w:r>
        <w:rPr>
          <w:rFonts w:hint="eastAsia" w:ascii="宋体" w:hAnsi="宋体" w:eastAsia="宋体" w:cs="宋体"/>
          <w:b/>
          <w:color w:val="auto"/>
          <w:sz w:val="21"/>
          <w:szCs w:val="21"/>
          <w:highlight w:val="none"/>
        </w:rPr>
        <w:t>三、授权委托书</w:t>
      </w:r>
      <w:bookmarkEnd w:id="278"/>
      <w:bookmarkEnd w:id="279"/>
    </w:p>
    <w:p w14:paraId="4E5E1E32">
      <w:pPr>
        <w:pStyle w:val="11"/>
        <w:adjustRightInd w:val="0"/>
        <w:snapToGrid w:val="0"/>
        <w:spacing w:line="300" w:lineRule="auto"/>
        <w:rPr>
          <w:rFonts w:hint="eastAsia" w:ascii="宋体" w:hAnsi="宋体" w:eastAsia="宋体" w:cs="宋体"/>
          <w:color w:val="auto"/>
          <w:sz w:val="21"/>
          <w:szCs w:val="21"/>
          <w:highlight w:val="none"/>
        </w:rPr>
      </w:pPr>
    </w:p>
    <w:p w14:paraId="0CAEB0AC">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本授权委托书声明：我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(姓名)系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(投标人名称)的法定代表人，现授权委托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（单位名称）的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(姓名)为我公司代理人，参加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(招标人)的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工程的投标活动。代理人在投标、开标、评标、合同谈判过程中所签署的一切文件和处理与之有关的一切事务，我均予以承认。</w:t>
      </w:r>
    </w:p>
    <w:p w14:paraId="4FFA523F">
      <w:pPr>
        <w:pStyle w:val="11"/>
        <w:adjustRightInd w:val="0"/>
        <w:snapToGrid w:val="0"/>
        <w:spacing w:line="360" w:lineRule="auto"/>
        <w:rPr>
          <w:rFonts w:hint="eastAsia" w:ascii="宋体" w:hAnsi="宋体" w:eastAsia="宋体" w:cs="宋体"/>
          <w:color w:val="auto"/>
          <w:sz w:val="21"/>
          <w:szCs w:val="21"/>
          <w:highlight w:val="none"/>
        </w:rPr>
      </w:pPr>
    </w:p>
    <w:p w14:paraId="196E7914">
      <w:pPr>
        <w:pStyle w:val="11"/>
        <w:adjustRightInd w:val="0"/>
        <w:snapToGrid w:val="0"/>
        <w:spacing w:line="360" w:lineRule="auto"/>
        <w:ind w:left="41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代理人无转委权。特此委托。</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rPr>
        <w:t>代理人：             性别：                 年龄：</w:t>
      </w:r>
    </w:p>
    <w:p w14:paraId="23EC20A8">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               部门：                 职务：</w:t>
      </w:r>
    </w:p>
    <w:p w14:paraId="172FEF2D">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14:paraId="416191BC">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14:paraId="7E51A285">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1CEEE18">
      <w:pPr>
        <w:pStyle w:val="11"/>
        <w:adjustRightInd w:val="0"/>
        <w:snapToGrid w:val="0"/>
        <w:spacing w:line="300" w:lineRule="auto"/>
        <w:jc w:val="center"/>
        <w:rPr>
          <w:rFonts w:hint="eastAsia" w:ascii="宋体" w:hAnsi="宋体" w:eastAsia="宋体" w:cs="宋体"/>
          <w:color w:val="auto"/>
          <w:sz w:val="21"/>
          <w:szCs w:val="21"/>
          <w:highlight w:val="none"/>
        </w:rPr>
      </w:pPr>
    </w:p>
    <w:p w14:paraId="3CD36D94">
      <w:pPr>
        <w:pStyle w:val="11"/>
        <w:adjustRightInd w:val="0"/>
        <w:snapToGrid w:val="0"/>
        <w:spacing w:line="300" w:lineRule="auto"/>
        <w:jc w:val="center"/>
        <w:rPr>
          <w:rFonts w:hint="eastAsia" w:ascii="宋体" w:hAnsi="宋体" w:eastAsia="宋体" w:cs="宋体"/>
          <w:color w:val="auto"/>
          <w:sz w:val="21"/>
          <w:szCs w:val="21"/>
          <w:highlight w:val="none"/>
        </w:rPr>
      </w:pPr>
    </w:p>
    <w:p w14:paraId="00A98207">
      <w:pPr>
        <w:pStyle w:val="11"/>
        <w:adjustRightInd w:val="0"/>
        <w:snapToGrid w:val="0"/>
        <w:spacing w:line="300" w:lineRule="auto"/>
        <w:jc w:val="center"/>
        <w:rPr>
          <w:rFonts w:hint="eastAsia" w:ascii="宋体" w:hAnsi="宋体" w:eastAsia="宋体" w:cs="宋体"/>
          <w:color w:val="auto"/>
          <w:sz w:val="21"/>
          <w:szCs w:val="21"/>
          <w:highlight w:val="none"/>
        </w:rPr>
      </w:pPr>
    </w:p>
    <w:p w14:paraId="77A31E5D">
      <w:pPr>
        <w:pStyle w:val="11"/>
        <w:adjustRightInd w:val="0"/>
        <w:snapToGrid w:val="0"/>
        <w:spacing w:line="300" w:lineRule="auto"/>
        <w:rPr>
          <w:rFonts w:hint="eastAsia" w:ascii="宋体" w:hAnsi="宋体" w:eastAsia="宋体" w:cs="宋体"/>
          <w:b/>
          <w:color w:val="auto"/>
          <w:sz w:val="21"/>
          <w:szCs w:val="21"/>
          <w:highlight w:val="none"/>
        </w:rPr>
      </w:pPr>
    </w:p>
    <w:p w14:paraId="22D24318">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80" w:name="_Toc11055341"/>
    </w:p>
    <w:p w14:paraId="053A916B">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14:paraId="3C4E7646">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14:paraId="708B7C79">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14:paraId="5A65DA5D">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81" w:name="_Toc8529"/>
      <w:r>
        <w:rPr>
          <w:rFonts w:hint="eastAsia" w:ascii="宋体" w:hAnsi="宋体" w:eastAsia="宋体" w:cs="宋体"/>
          <w:b/>
          <w:color w:val="auto"/>
          <w:sz w:val="21"/>
          <w:szCs w:val="21"/>
          <w:highlight w:val="none"/>
        </w:rPr>
        <w:t>四、报价汇总表</w:t>
      </w:r>
      <w:bookmarkEnd w:id="280"/>
      <w:bookmarkEnd w:id="281"/>
    </w:p>
    <w:p w14:paraId="7259DCFC">
      <w:pPr>
        <w:ind w:firstLine="3570" w:firstLineChars="1700"/>
        <w:rPr>
          <w:rFonts w:hint="eastAsia" w:ascii="宋体" w:hAnsi="宋体" w:eastAsia="宋体" w:cs="宋体"/>
          <w:color w:val="auto"/>
          <w:sz w:val="21"/>
          <w:szCs w:val="21"/>
          <w:highlight w:val="none"/>
        </w:rPr>
      </w:pPr>
    </w:p>
    <w:p w14:paraId="555445B5">
      <w:pPr>
        <w:ind w:firstLine="3570" w:firstLineChars="1700"/>
        <w:rPr>
          <w:rFonts w:hint="eastAsia" w:ascii="宋体" w:hAnsi="宋体" w:eastAsia="宋体" w:cs="宋体"/>
          <w:color w:val="auto"/>
          <w:sz w:val="21"/>
          <w:szCs w:val="21"/>
          <w:highlight w:val="none"/>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940"/>
        <w:gridCol w:w="1701"/>
        <w:gridCol w:w="2573"/>
      </w:tblGrid>
      <w:tr w14:paraId="217C8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130" w:type="dxa"/>
            <w:noWrap w:val="0"/>
            <w:vAlign w:val="center"/>
          </w:tcPr>
          <w:p w14:paraId="31BD78C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投标单位名称</w:t>
            </w:r>
          </w:p>
        </w:tc>
        <w:tc>
          <w:tcPr>
            <w:tcW w:w="7214" w:type="dxa"/>
            <w:gridSpan w:val="3"/>
            <w:noWrap w:val="0"/>
            <w:vAlign w:val="center"/>
          </w:tcPr>
          <w:p w14:paraId="3D4E31DE">
            <w:pPr>
              <w:rPr>
                <w:rFonts w:hint="eastAsia" w:ascii="宋体" w:hAnsi="宋体" w:eastAsia="宋体" w:cs="宋体"/>
                <w:color w:val="auto"/>
                <w:sz w:val="21"/>
                <w:szCs w:val="21"/>
                <w:highlight w:val="none"/>
              </w:rPr>
            </w:pPr>
          </w:p>
        </w:tc>
      </w:tr>
      <w:tr w14:paraId="06C26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trPr>
        <w:tc>
          <w:tcPr>
            <w:tcW w:w="2130" w:type="dxa"/>
            <w:noWrap w:val="0"/>
            <w:vAlign w:val="center"/>
          </w:tcPr>
          <w:p w14:paraId="30E62E9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投标项目名称</w:t>
            </w:r>
          </w:p>
        </w:tc>
        <w:tc>
          <w:tcPr>
            <w:tcW w:w="7214" w:type="dxa"/>
            <w:gridSpan w:val="3"/>
            <w:noWrap w:val="0"/>
            <w:vAlign w:val="center"/>
          </w:tcPr>
          <w:p w14:paraId="15866582">
            <w:pPr>
              <w:rPr>
                <w:rFonts w:hint="eastAsia" w:ascii="宋体" w:hAnsi="宋体" w:eastAsia="宋体" w:cs="宋体"/>
                <w:color w:val="auto"/>
                <w:sz w:val="21"/>
                <w:szCs w:val="21"/>
                <w:highlight w:val="none"/>
              </w:rPr>
            </w:pPr>
          </w:p>
        </w:tc>
      </w:tr>
      <w:tr w14:paraId="28771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6" w:hRule="atLeast"/>
        </w:trPr>
        <w:tc>
          <w:tcPr>
            <w:tcW w:w="2130" w:type="dxa"/>
            <w:noWrap w:val="0"/>
            <w:vAlign w:val="center"/>
          </w:tcPr>
          <w:p w14:paraId="4B949E2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价</w:t>
            </w:r>
          </w:p>
        </w:tc>
        <w:tc>
          <w:tcPr>
            <w:tcW w:w="2940" w:type="dxa"/>
            <w:noWrap w:val="0"/>
            <w:vAlign w:val="center"/>
          </w:tcPr>
          <w:p w14:paraId="406710A9">
            <w:pPr>
              <w:rPr>
                <w:rFonts w:hint="eastAsia" w:ascii="宋体" w:hAnsi="宋体" w:eastAsia="宋体" w:cs="宋体"/>
                <w:color w:val="auto"/>
                <w:sz w:val="21"/>
                <w:szCs w:val="21"/>
                <w:highlight w:val="none"/>
              </w:rPr>
            </w:pPr>
          </w:p>
        </w:tc>
        <w:tc>
          <w:tcPr>
            <w:tcW w:w="1701" w:type="dxa"/>
            <w:noWrap w:val="0"/>
            <w:vAlign w:val="center"/>
          </w:tcPr>
          <w:p w14:paraId="266622E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施工工期</w:t>
            </w:r>
          </w:p>
        </w:tc>
        <w:tc>
          <w:tcPr>
            <w:tcW w:w="2573" w:type="dxa"/>
            <w:noWrap w:val="0"/>
            <w:vAlign w:val="center"/>
          </w:tcPr>
          <w:p w14:paraId="2D263B5D">
            <w:pPr>
              <w:rPr>
                <w:rFonts w:hint="eastAsia" w:ascii="宋体" w:hAnsi="宋体" w:eastAsia="宋体" w:cs="宋体"/>
                <w:color w:val="auto"/>
                <w:sz w:val="21"/>
                <w:szCs w:val="21"/>
                <w:highlight w:val="none"/>
              </w:rPr>
            </w:pPr>
          </w:p>
        </w:tc>
      </w:tr>
      <w:tr w14:paraId="7C80C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noWrap w:val="0"/>
            <w:vAlign w:val="center"/>
          </w:tcPr>
          <w:p w14:paraId="65FE4C2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质量等级</w:t>
            </w:r>
          </w:p>
        </w:tc>
        <w:tc>
          <w:tcPr>
            <w:tcW w:w="2940" w:type="dxa"/>
            <w:noWrap w:val="0"/>
            <w:vAlign w:val="center"/>
          </w:tcPr>
          <w:p w14:paraId="0E14FFA6">
            <w:pPr>
              <w:rPr>
                <w:rFonts w:hint="eastAsia" w:ascii="宋体" w:hAnsi="宋体" w:eastAsia="宋体" w:cs="宋体"/>
                <w:color w:val="auto"/>
                <w:sz w:val="21"/>
                <w:szCs w:val="21"/>
                <w:highlight w:val="none"/>
              </w:rPr>
            </w:pPr>
          </w:p>
        </w:tc>
        <w:tc>
          <w:tcPr>
            <w:tcW w:w="1701" w:type="dxa"/>
            <w:noWrap w:val="0"/>
            <w:vAlign w:val="center"/>
          </w:tcPr>
          <w:p w14:paraId="1CA6FCF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2573" w:type="dxa"/>
            <w:noWrap w:val="0"/>
            <w:vAlign w:val="center"/>
          </w:tcPr>
          <w:p w14:paraId="7B8757BA">
            <w:pPr>
              <w:rPr>
                <w:rFonts w:hint="eastAsia" w:ascii="宋体" w:hAnsi="宋体" w:eastAsia="宋体" w:cs="宋体"/>
                <w:color w:val="auto"/>
                <w:sz w:val="21"/>
                <w:szCs w:val="21"/>
                <w:highlight w:val="none"/>
              </w:rPr>
            </w:pPr>
          </w:p>
        </w:tc>
      </w:tr>
    </w:tbl>
    <w:p w14:paraId="2C278F57">
      <w:pPr>
        <w:ind w:firstLine="3570" w:firstLineChars="1700"/>
        <w:rPr>
          <w:rFonts w:hint="eastAsia" w:ascii="宋体" w:hAnsi="宋体" w:eastAsia="宋体" w:cs="宋体"/>
          <w:color w:val="auto"/>
          <w:sz w:val="21"/>
          <w:szCs w:val="21"/>
          <w:highlight w:val="none"/>
        </w:rPr>
      </w:pPr>
    </w:p>
    <w:p w14:paraId="310ECDD3">
      <w:pPr>
        <w:ind w:firstLine="2520" w:firstLineChars="1200"/>
        <w:rPr>
          <w:rFonts w:hint="eastAsia" w:ascii="宋体" w:hAnsi="宋体" w:eastAsia="宋体" w:cs="宋体"/>
          <w:color w:val="auto"/>
          <w:sz w:val="21"/>
          <w:szCs w:val="21"/>
          <w:highlight w:val="none"/>
        </w:rPr>
      </w:pPr>
    </w:p>
    <w:p w14:paraId="1C50AFBA">
      <w:pPr>
        <w:rPr>
          <w:rFonts w:hint="eastAsia" w:ascii="宋体" w:hAnsi="宋体" w:eastAsia="宋体" w:cs="宋体"/>
          <w:color w:val="auto"/>
          <w:sz w:val="21"/>
          <w:szCs w:val="21"/>
          <w:highlight w:val="none"/>
        </w:rPr>
      </w:pPr>
    </w:p>
    <w:p w14:paraId="64C4241D">
      <w:pPr>
        <w:spacing w:line="360" w:lineRule="auto"/>
        <w:rPr>
          <w:rFonts w:hint="eastAsia" w:ascii="宋体" w:hAnsi="宋体" w:eastAsia="宋体" w:cs="宋体"/>
          <w:color w:val="auto"/>
          <w:sz w:val="21"/>
          <w:szCs w:val="21"/>
          <w:highlight w:val="none"/>
        </w:rPr>
      </w:pPr>
    </w:p>
    <w:p w14:paraId="119AC7C4">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14:paraId="589CEFA7">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法定代表人或委托代理人（盖章）：</w:t>
      </w:r>
    </w:p>
    <w:p w14:paraId="2E662C2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5EC2A13C">
      <w:pPr>
        <w:rPr>
          <w:rFonts w:hint="eastAsia" w:ascii="宋体" w:hAnsi="宋体" w:eastAsia="宋体" w:cs="宋体"/>
          <w:color w:val="auto"/>
          <w:sz w:val="21"/>
          <w:szCs w:val="21"/>
          <w:highlight w:val="none"/>
        </w:rPr>
      </w:pPr>
    </w:p>
    <w:p w14:paraId="2DDE3474">
      <w:pPr>
        <w:rPr>
          <w:rFonts w:hint="eastAsia" w:ascii="宋体" w:hAnsi="宋体" w:eastAsia="宋体" w:cs="宋体"/>
          <w:color w:val="auto"/>
          <w:sz w:val="21"/>
          <w:szCs w:val="21"/>
          <w:highlight w:val="none"/>
        </w:rPr>
      </w:pPr>
    </w:p>
    <w:p w14:paraId="31271A01">
      <w:pPr>
        <w:rPr>
          <w:rFonts w:hint="eastAsia" w:ascii="宋体" w:hAnsi="宋体" w:eastAsia="宋体" w:cs="宋体"/>
          <w:color w:val="auto"/>
          <w:sz w:val="21"/>
          <w:szCs w:val="21"/>
          <w:highlight w:val="none"/>
        </w:rPr>
      </w:pPr>
    </w:p>
    <w:p w14:paraId="1479557C">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14:paraId="4A7892F1">
      <w:pPr>
        <w:pStyle w:val="11"/>
        <w:adjustRightInd w:val="0"/>
        <w:snapToGrid w:val="0"/>
        <w:spacing w:line="300" w:lineRule="auto"/>
        <w:jc w:val="center"/>
        <w:rPr>
          <w:rFonts w:hint="eastAsia" w:ascii="宋体" w:hAnsi="宋体" w:eastAsia="宋体" w:cs="宋体"/>
          <w:color w:val="auto"/>
          <w:sz w:val="21"/>
          <w:szCs w:val="21"/>
          <w:highlight w:val="none"/>
        </w:rPr>
      </w:pPr>
    </w:p>
    <w:p w14:paraId="5A29CDB7">
      <w:pPr>
        <w:pStyle w:val="11"/>
        <w:adjustRightInd w:val="0"/>
        <w:snapToGrid w:val="0"/>
        <w:spacing w:line="300" w:lineRule="auto"/>
        <w:jc w:val="center"/>
        <w:rPr>
          <w:rFonts w:hint="eastAsia" w:ascii="宋体" w:hAnsi="宋体" w:eastAsia="宋体" w:cs="宋体"/>
          <w:color w:val="auto"/>
          <w:sz w:val="21"/>
          <w:szCs w:val="21"/>
          <w:highlight w:val="none"/>
        </w:rPr>
      </w:pPr>
    </w:p>
    <w:p w14:paraId="347041DF">
      <w:pPr>
        <w:pStyle w:val="11"/>
        <w:adjustRightInd w:val="0"/>
        <w:snapToGrid w:val="0"/>
        <w:spacing w:line="300" w:lineRule="auto"/>
        <w:jc w:val="center"/>
        <w:rPr>
          <w:rFonts w:hint="eastAsia" w:ascii="宋体" w:hAnsi="宋体" w:eastAsia="宋体" w:cs="宋体"/>
          <w:color w:val="auto"/>
          <w:sz w:val="21"/>
          <w:szCs w:val="21"/>
          <w:highlight w:val="none"/>
        </w:rPr>
      </w:pPr>
    </w:p>
    <w:p w14:paraId="1E95EE16">
      <w:pPr>
        <w:pStyle w:val="11"/>
        <w:adjustRightInd w:val="0"/>
        <w:snapToGrid w:val="0"/>
        <w:spacing w:line="300" w:lineRule="auto"/>
        <w:jc w:val="center"/>
        <w:rPr>
          <w:rFonts w:hint="eastAsia" w:ascii="宋体" w:hAnsi="宋体" w:eastAsia="宋体" w:cs="宋体"/>
          <w:color w:val="auto"/>
          <w:sz w:val="21"/>
          <w:szCs w:val="21"/>
          <w:highlight w:val="none"/>
        </w:rPr>
      </w:pPr>
    </w:p>
    <w:p w14:paraId="3C9DA3D3">
      <w:pPr>
        <w:pStyle w:val="11"/>
        <w:adjustRightInd w:val="0"/>
        <w:snapToGrid w:val="0"/>
        <w:spacing w:line="300" w:lineRule="auto"/>
        <w:jc w:val="center"/>
        <w:rPr>
          <w:rFonts w:hint="eastAsia" w:ascii="宋体" w:hAnsi="宋体" w:eastAsia="宋体" w:cs="宋体"/>
          <w:color w:val="auto"/>
          <w:sz w:val="21"/>
          <w:szCs w:val="21"/>
          <w:highlight w:val="none"/>
        </w:rPr>
      </w:pPr>
    </w:p>
    <w:p w14:paraId="064CB0A1">
      <w:pPr>
        <w:pStyle w:val="4"/>
        <w:jc w:val="center"/>
        <w:rPr>
          <w:rFonts w:hint="eastAsia" w:ascii="宋体" w:hAnsi="宋体" w:eastAsia="宋体" w:cs="宋体"/>
          <w:b/>
          <w:color w:val="auto"/>
          <w:kern w:val="0"/>
          <w:sz w:val="21"/>
          <w:szCs w:val="21"/>
          <w:highlight w:val="none"/>
          <w:lang w:val="en-US" w:eastAsia="zh-CN" w:bidi="ar-SA"/>
        </w:rPr>
      </w:pPr>
      <w:bookmarkStart w:id="282" w:name="_Toc11055342"/>
      <w:bookmarkStart w:id="283" w:name="_Toc17357"/>
      <w:r>
        <w:rPr>
          <w:rFonts w:hint="eastAsia" w:ascii="宋体" w:hAnsi="宋体" w:eastAsia="宋体" w:cs="宋体"/>
          <w:b/>
          <w:color w:val="auto"/>
          <w:kern w:val="0"/>
          <w:sz w:val="21"/>
          <w:szCs w:val="21"/>
          <w:highlight w:val="none"/>
          <w:lang w:val="en-US" w:eastAsia="zh-CN" w:bidi="ar-SA"/>
        </w:rPr>
        <w:t xml:space="preserve">五、  </w:t>
      </w:r>
      <w:bookmarkEnd w:id="282"/>
      <w:r>
        <w:rPr>
          <w:rFonts w:hint="eastAsia" w:ascii="宋体" w:hAnsi="宋体" w:eastAsia="宋体" w:cs="宋体"/>
          <w:b/>
          <w:color w:val="auto"/>
          <w:kern w:val="0"/>
          <w:sz w:val="21"/>
          <w:szCs w:val="21"/>
          <w:highlight w:val="none"/>
          <w:lang w:val="en-US" w:eastAsia="zh-CN" w:bidi="ar-SA"/>
        </w:rPr>
        <w:t>工程量清单报价表</w:t>
      </w:r>
      <w:bookmarkEnd w:id="283"/>
    </w:p>
    <w:p w14:paraId="1F6144D7">
      <w:pPr>
        <w:pStyle w:val="11"/>
        <w:spacing w:line="300" w:lineRule="auto"/>
        <w:ind w:left="200" w:leftChars="100" w:right="-200" w:rightChars="-100"/>
        <w:jc w:val="left"/>
        <w:rPr>
          <w:rFonts w:hint="eastAsia" w:ascii="宋体" w:hAnsi="宋体" w:eastAsia="宋体" w:cs="宋体"/>
          <w:color w:val="auto"/>
          <w:sz w:val="21"/>
          <w:szCs w:val="21"/>
          <w:highlight w:val="none"/>
          <w:u w:val="single"/>
        </w:rPr>
      </w:pPr>
      <w:bookmarkStart w:id="284" w:name="_Toc14028"/>
      <w:bookmarkStart w:id="285" w:name="_Toc9727"/>
    </w:p>
    <w:p w14:paraId="06EA70E5">
      <w:pPr>
        <w:pStyle w:val="6"/>
        <w:ind w:left="0" w:leftChars="0" w:firstLine="0" w:firstLineChars="0"/>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六、投标单位认为所需提供的材料</w:t>
      </w:r>
    </w:p>
    <w:p w14:paraId="5E2B1C20">
      <w:pPr>
        <w:pStyle w:val="11"/>
        <w:spacing w:line="300" w:lineRule="auto"/>
        <w:ind w:left="200" w:leftChars="100" w:right="-200" w:rightChars="-100"/>
        <w:jc w:val="left"/>
        <w:rPr>
          <w:rFonts w:hint="eastAsia" w:hAnsi="宋体"/>
          <w:color w:val="auto"/>
          <w:sz w:val="22"/>
          <w:szCs w:val="18"/>
          <w:highlight w:val="none"/>
          <w:u w:val="single"/>
        </w:rPr>
      </w:pPr>
    </w:p>
    <w:p w14:paraId="61AB03D6">
      <w:pPr>
        <w:pStyle w:val="11"/>
        <w:spacing w:line="300" w:lineRule="auto"/>
        <w:ind w:right="-200" w:rightChars="-100"/>
        <w:jc w:val="left"/>
        <w:rPr>
          <w:rFonts w:hint="eastAsia" w:hAnsi="宋体"/>
          <w:color w:val="auto"/>
          <w:sz w:val="24"/>
          <w:highlight w:val="none"/>
          <w:u w:val="single"/>
        </w:rPr>
      </w:pPr>
    </w:p>
    <w:p w14:paraId="5AB4F13F">
      <w:pPr>
        <w:pStyle w:val="11"/>
        <w:spacing w:line="300" w:lineRule="auto"/>
        <w:ind w:right="-200" w:rightChars="-100"/>
        <w:jc w:val="left"/>
        <w:rPr>
          <w:rFonts w:hint="eastAsia" w:hAnsi="宋体"/>
          <w:color w:val="auto"/>
          <w:sz w:val="24"/>
          <w:highlight w:val="none"/>
          <w:u w:val="single"/>
        </w:rPr>
      </w:pPr>
    </w:p>
    <w:p w14:paraId="6D11279F">
      <w:pPr>
        <w:outlineLvl w:val="1"/>
        <w:rPr>
          <w:rFonts w:ascii="黑体" w:hAnsi="黑体" w:eastAsia="黑体"/>
          <w:b/>
          <w:color w:val="auto"/>
          <w:sz w:val="32"/>
          <w:szCs w:val="32"/>
          <w:highlight w:val="none"/>
        </w:rPr>
      </w:pPr>
    </w:p>
    <w:bookmarkEnd w:id="284"/>
    <w:bookmarkEnd w:id="285"/>
    <w:p w14:paraId="4F3713D3">
      <w:pPr>
        <w:rPr>
          <w:rFonts w:hint="eastAsia" w:ascii="宋体" w:hAnsi="宋体"/>
          <w:b/>
          <w:color w:val="auto"/>
          <w:sz w:val="21"/>
          <w:szCs w:val="21"/>
          <w:highlight w:val="none"/>
        </w:rPr>
      </w:pPr>
      <w:bookmarkStart w:id="286" w:name="_Hlt269103346"/>
    </w:p>
    <w:bookmarkEnd w:id="286"/>
    <w:p w14:paraId="716F0972">
      <w:pPr>
        <w:pStyle w:val="11"/>
        <w:adjustRightInd w:val="0"/>
        <w:snapToGrid w:val="0"/>
        <w:spacing w:line="300" w:lineRule="auto"/>
        <w:rPr>
          <w:rFonts w:hint="eastAsia" w:hAnsi="宋体"/>
          <w:color w:val="auto"/>
          <w:sz w:val="32"/>
          <w:highlight w:val="none"/>
        </w:rPr>
      </w:pPr>
      <w:bookmarkStart w:id="287" w:name="第08章投标文件格式10"/>
      <w:bookmarkEnd w:id="287"/>
    </w:p>
    <w:p w14:paraId="38040367">
      <w:pPr>
        <w:rPr>
          <w:color w:val="auto"/>
          <w:highlight w:val="none"/>
        </w:rPr>
      </w:pPr>
    </w:p>
    <w:sectPr>
      <w:headerReference r:id="rId5" w:type="default"/>
      <w:footerReference r:id="rId6" w:type="default"/>
      <w:footerReference r:id="rId7" w:type="even"/>
      <w:pgSz w:w="11907" w:h="16840"/>
      <w:pgMar w:top="1134" w:right="850" w:bottom="1418" w:left="1418" w:header="567" w:footer="567" w:gutter="0"/>
      <w:pgNumType w:start="18"/>
      <w:cols w:space="720" w:num="1"/>
      <w:docGrid w:linePitch="2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EC30B">
    <w:pPr>
      <w:pStyle w:val="13"/>
      <w:jc w:val="center"/>
    </w:pPr>
    <w:r>
      <w:fldChar w:fldCharType="begin"/>
    </w:r>
    <w:r>
      <w:instrText xml:space="preserve"> PAGE   \* MERGEFORMAT </w:instrText>
    </w:r>
    <w:r>
      <w:fldChar w:fldCharType="separate"/>
    </w:r>
    <w:r>
      <w:rPr>
        <w:lang w:val="zh-CN"/>
      </w:rPr>
      <w:t>17</w:t>
    </w:r>
    <w:r>
      <w:fldChar w:fldCharType="end"/>
    </w:r>
  </w:p>
  <w:p w14:paraId="7803A897">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3AD40">
    <w:pPr>
      <w:pStyle w:val="13"/>
      <w:jc w:val="center"/>
    </w:pPr>
    <w:r>
      <w:fldChar w:fldCharType="begin"/>
    </w:r>
    <w:r>
      <w:instrText xml:space="preserve"> PAGE   \* MERGEFORMAT </w:instrText>
    </w:r>
    <w:r>
      <w:fldChar w:fldCharType="separate"/>
    </w:r>
    <w:r>
      <w:rPr>
        <w:lang w:val="zh-CN"/>
      </w:rPr>
      <w:t>1</w:t>
    </w:r>
    <w:r>
      <w:fldChar w:fldCharType="end"/>
    </w:r>
  </w:p>
  <w:p w14:paraId="0B351D93">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4DDFF">
    <w:pPr>
      <w:pStyle w:val="13"/>
      <w:jc w:val="center"/>
    </w:pPr>
    <w:r>
      <w:fldChar w:fldCharType="begin"/>
    </w:r>
    <w:r>
      <w:instrText xml:space="preserve"> PAGE   \* MERGEFORMAT </w:instrText>
    </w:r>
    <w:r>
      <w:fldChar w:fldCharType="separate"/>
    </w:r>
    <w:r>
      <w:rPr>
        <w:lang w:val="zh-CN"/>
      </w:rPr>
      <w:t>40</w:t>
    </w:r>
    <w:r>
      <w:fldChar w:fldCharType="end"/>
    </w:r>
  </w:p>
  <w:p w14:paraId="3D23047C">
    <w:pPr>
      <w:pStyle w:val="13"/>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0A170">
    <w:pPr>
      <w:pStyle w:val="13"/>
      <w:framePr w:wrap="around" w:vAnchor="text" w:hAnchor="margin" w:xAlign="center" w:y="1"/>
      <w:rPr>
        <w:rStyle w:val="23"/>
      </w:rPr>
    </w:pPr>
    <w:r>
      <w:fldChar w:fldCharType="begin"/>
    </w:r>
    <w:r>
      <w:rPr>
        <w:rStyle w:val="23"/>
      </w:rPr>
      <w:instrText xml:space="preserve">PAGE  </w:instrText>
    </w:r>
    <w:r>
      <w:fldChar w:fldCharType="end"/>
    </w:r>
  </w:p>
  <w:p w14:paraId="1E153C1D">
    <w:pPr>
      <w:pStyle w:val="1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68455">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A73EEF"/>
    <w:multiLevelType w:val="singleLevel"/>
    <w:tmpl w:val="0BA73EEF"/>
    <w:lvl w:ilvl="0" w:tentative="0">
      <w:start w:val="1"/>
      <w:numFmt w:val="decimal"/>
      <w:lvlText w:val="%1、"/>
      <w:lvlJc w:val="left"/>
      <w:pPr>
        <w:tabs>
          <w:tab w:val="left" w:pos="450"/>
        </w:tabs>
        <w:ind w:left="450" w:hanging="450"/>
      </w:pPr>
      <w:rPr>
        <w:rFonts w:hint="eastAsia"/>
      </w:rPr>
    </w:lvl>
  </w:abstractNum>
  <w:abstractNum w:abstractNumId="1">
    <w:nsid w:val="0FA13A81"/>
    <w:multiLevelType w:val="multilevel"/>
    <w:tmpl w:val="0FA13A81"/>
    <w:lvl w:ilvl="0" w:tentative="0">
      <w:start w:val="1"/>
      <w:numFmt w:val="decimal"/>
      <w:lvlText w:val="%1)"/>
      <w:lvlJc w:val="left"/>
      <w:pPr>
        <w:tabs>
          <w:tab w:val="left" w:pos="0"/>
        </w:tabs>
        <w:ind w:left="0" w:hanging="420"/>
      </w:pPr>
      <w:rPr>
        <w:rFonts w:hint="eastAsia"/>
      </w:rPr>
    </w:lvl>
    <w:lvl w:ilvl="1" w:tentative="0">
      <w:start w:val="1"/>
      <w:numFmt w:val="lowerLetter"/>
      <w:lvlText w:val="%2)"/>
      <w:lvlJc w:val="left"/>
      <w:pPr>
        <w:tabs>
          <w:tab w:val="left" w:pos="-140"/>
        </w:tabs>
        <w:ind w:left="-140" w:hanging="420"/>
      </w:pPr>
    </w:lvl>
    <w:lvl w:ilvl="2" w:tentative="0">
      <w:start w:val="1"/>
      <w:numFmt w:val="lowerRoman"/>
      <w:lvlText w:val="%3."/>
      <w:lvlJc w:val="right"/>
      <w:pPr>
        <w:tabs>
          <w:tab w:val="left" w:pos="280"/>
        </w:tabs>
        <w:ind w:left="280" w:hanging="420"/>
      </w:pPr>
    </w:lvl>
    <w:lvl w:ilvl="3" w:tentative="0">
      <w:start w:val="1"/>
      <w:numFmt w:val="decimal"/>
      <w:lvlText w:val="%4."/>
      <w:lvlJc w:val="left"/>
      <w:pPr>
        <w:tabs>
          <w:tab w:val="left" w:pos="700"/>
        </w:tabs>
        <w:ind w:left="700" w:hanging="420"/>
      </w:pPr>
    </w:lvl>
    <w:lvl w:ilvl="4" w:tentative="0">
      <w:start w:val="1"/>
      <w:numFmt w:val="lowerLetter"/>
      <w:lvlText w:val="%5)"/>
      <w:lvlJc w:val="left"/>
      <w:pPr>
        <w:tabs>
          <w:tab w:val="left" w:pos="1120"/>
        </w:tabs>
        <w:ind w:left="1120" w:hanging="420"/>
      </w:pPr>
    </w:lvl>
    <w:lvl w:ilvl="5" w:tentative="0">
      <w:start w:val="1"/>
      <w:numFmt w:val="lowerRoman"/>
      <w:lvlText w:val="%6."/>
      <w:lvlJc w:val="right"/>
      <w:pPr>
        <w:tabs>
          <w:tab w:val="left" w:pos="1540"/>
        </w:tabs>
        <w:ind w:left="1540" w:hanging="420"/>
      </w:pPr>
    </w:lvl>
    <w:lvl w:ilvl="6" w:tentative="0">
      <w:start w:val="1"/>
      <w:numFmt w:val="decimal"/>
      <w:lvlText w:val="%7."/>
      <w:lvlJc w:val="left"/>
      <w:pPr>
        <w:tabs>
          <w:tab w:val="left" w:pos="1960"/>
        </w:tabs>
        <w:ind w:left="1960" w:hanging="420"/>
      </w:pPr>
    </w:lvl>
    <w:lvl w:ilvl="7" w:tentative="0">
      <w:start w:val="1"/>
      <w:numFmt w:val="lowerLetter"/>
      <w:lvlText w:val="%8)"/>
      <w:lvlJc w:val="left"/>
      <w:pPr>
        <w:tabs>
          <w:tab w:val="left" w:pos="2380"/>
        </w:tabs>
        <w:ind w:left="2380" w:hanging="420"/>
      </w:pPr>
    </w:lvl>
    <w:lvl w:ilvl="8" w:tentative="0">
      <w:start w:val="1"/>
      <w:numFmt w:val="lowerRoman"/>
      <w:lvlText w:val="%9."/>
      <w:lvlJc w:val="right"/>
      <w:pPr>
        <w:tabs>
          <w:tab w:val="left" w:pos="2800"/>
        </w:tabs>
        <w:ind w:left="2800" w:hanging="420"/>
      </w:pPr>
    </w:lvl>
  </w:abstractNum>
  <w:abstractNum w:abstractNumId="2">
    <w:nsid w:val="10054F09"/>
    <w:multiLevelType w:val="singleLevel"/>
    <w:tmpl w:val="10054F09"/>
    <w:lvl w:ilvl="0" w:tentative="0">
      <w:start w:val="1"/>
      <w:numFmt w:val="decimal"/>
      <w:lvlText w:val="%1、"/>
      <w:lvlJc w:val="left"/>
      <w:pPr>
        <w:tabs>
          <w:tab w:val="left" w:pos="1017"/>
        </w:tabs>
        <w:ind w:left="1017" w:hanging="450"/>
      </w:pPr>
      <w:rPr>
        <w:rFonts w:hint="eastAsia"/>
      </w:rPr>
    </w:lvl>
  </w:abstractNum>
  <w:abstractNum w:abstractNumId="3">
    <w:nsid w:val="105613EB"/>
    <w:multiLevelType w:val="singleLevel"/>
    <w:tmpl w:val="105613EB"/>
    <w:lvl w:ilvl="0" w:tentative="0">
      <w:start w:val="4"/>
      <w:numFmt w:val="chineseCounting"/>
      <w:suff w:val="space"/>
      <w:lvlText w:val="第%1章"/>
      <w:lvlJc w:val="left"/>
      <w:rPr>
        <w:rFonts w:hint="eastAsia"/>
      </w:rPr>
    </w:lvl>
  </w:abstractNum>
  <w:abstractNum w:abstractNumId="4">
    <w:nsid w:val="12916710"/>
    <w:multiLevelType w:val="singleLevel"/>
    <w:tmpl w:val="12916710"/>
    <w:lvl w:ilvl="0" w:tentative="0">
      <w:start w:val="1"/>
      <w:numFmt w:val="decimal"/>
      <w:lvlText w:val="%1、"/>
      <w:lvlJc w:val="left"/>
      <w:pPr>
        <w:tabs>
          <w:tab w:val="left" w:pos="1155"/>
        </w:tabs>
        <w:ind w:left="1155" w:hanging="435"/>
      </w:pPr>
      <w:rPr>
        <w:rFonts w:hint="eastAsia"/>
      </w:rPr>
    </w:lvl>
  </w:abstractNum>
  <w:abstractNum w:abstractNumId="5">
    <w:nsid w:val="2EBE770E"/>
    <w:multiLevelType w:val="multilevel"/>
    <w:tmpl w:val="2EBE770E"/>
    <w:lvl w:ilvl="0" w:tentative="0">
      <w:start w:val="7"/>
      <w:numFmt w:val="decimal"/>
      <w:lvlText w:val="%1"/>
      <w:lvlJc w:val="left"/>
      <w:pPr>
        <w:tabs>
          <w:tab w:val="left" w:pos="480"/>
        </w:tabs>
        <w:ind w:left="480" w:hanging="480"/>
      </w:pPr>
      <w:rPr>
        <w:rFonts w:hint="default"/>
      </w:rPr>
    </w:lvl>
    <w:lvl w:ilvl="1" w:tentative="0">
      <w:start w:val="1"/>
      <w:numFmt w:val="decimal"/>
      <w:lvlText w:val="%1.%2"/>
      <w:lvlJc w:val="left"/>
      <w:pPr>
        <w:tabs>
          <w:tab w:val="left" w:pos="690"/>
        </w:tabs>
        <w:ind w:left="690" w:hanging="480"/>
      </w:pPr>
      <w:rPr>
        <w:rFonts w:hint="default"/>
      </w:rPr>
    </w:lvl>
    <w:lvl w:ilvl="2" w:tentative="0">
      <w:start w:val="1"/>
      <w:numFmt w:val="decimal"/>
      <w:lvlText w:val="%1.%2.%3"/>
      <w:lvlJc w:val="left"/>
      <w:pPr>
        <w:tabs>
          <w:tab w:val="left" w:pos="1140"/>
        </w:tabs>
        <w:ind w:left="1140" w:hanging="720"/>
      </w:pPr>
      <w:rPr>
        <w:rFonts w:hint="default"/>
      </w:rPr>
    </w:lvl>
    <w:lvl w:ilvl="3" w:tentative="0">
      <w:start w:val="1"/>
      <w:numFmt w:val="decimal"/>
      <w:lvlText w:val="%1.%2.%3.%4"/>
      <w:lvlJc w:val="left"/>
      <w:pPr>
        <w:tabs>
          <w:tab w:val="left" w:pos="1350"/>
        </w:tabs>
        <w:ind w:left="1350" w:hanging="720"/>
      </w:pPr>
      <w:rPr>
        <w:rFonts w:hint="default"/>
      </w:rPr>
    </w:lvl>
    <w:lvl w:ilvl="4" w:tentative="0">
      <w:start w:val="1"/>
      <w:numFmt w:val="decimal"/>
      <w:lvlText w:val="%1.%2.%3.%4.%5"/>
      <w:lvlJc w:val="left"/>
      <w:pPr>
        <w:tabs>
          <w:tab w:val="left" w:pos="1920"/>
        </w:tabs>
        <w:ind w:left="1920" w:hanging="1080"/>
      </w:pPr>
      <w:rPr>
        <w:rFonts w:hint="default"/>
      </w:rPr>
    </w:lvl>
    <w:lvl w:ilvl="5" w:tentative="0">
      <w:start w:val="1"/>
      <w:numFmt w:val="decimal"/>
      <w:lvlText w:val="%1.%2.%3.%4.%5.%6"/>
      <w:lvlJc w:val="left"/>
      <w:pPr>
        <w:tabs>
          <w:tab w:val="left" w:pos="2130"/>
        </w:tabs>
        <w:ind w:left="2130" w:hanging="1080"/>
      </w:pPr>
      <w:rPr>
        <w:rFonts w:hint="default"/>
      </w:rPr>
    </w:lvl>
    <w:lvl w:ilvl="6" w:tentative="0">
      <w:start w:val="1"/>
      <w:numFmt w:val="decimal"/>
      <w:lvlText w:val="%1.%2.%3.%4.%5.%6.%7"/>
      <w:lvlJc w:val="left"/>
      <w:pPr>
        <w:tabs>
          <w:tab w:val="left" w:pos="2340"/>
        </w:tabs>
        <w:ind w:left="2340" w:hanging="1080"/>
      </w:pPr>
      <w:rPr>
        <w:rFonts w:hint="default"/>
      </w:rPr>
    </w:lvl>
    <w:lvl w:ilvl="7" w:tentative="0">
      <w:start w:val="1"/>
      <w:numFmt w:val="decimal"/>
      <w:lvlText w:val="%1.%2.%3.%4.%5.%6.%7.%8"/>
      <w:lvlJc w:val="left"/>
      <w:pPr>
        <w:tabs>
          <w:tab w:val="left" w:pos="2910"/>
        </w:tabs>
        <w:ind w:left="2910" w:hanging="1440"/>
      </w:pPr>
      <w:rPr>
        <w:rFonts w:hint="default"/>
      </w:rPr>
    </w:lvl>
    <w:lvl w:ilvl="8" w:tentative="0">
      <w:start w:val="1"/>
      <w:numFmt w:val="decimal"/>
      <w:lvlText w:val="%1.%2.%3.%4.%5.%6.%7.%8.%9"/>
      <w:lvlJc w:val="left"/>
      <w:pPr>
        <w:tabs>
          <w:tab w:val="left" w:pos="3120"/>
        </w:tabs>
        <w:ind w:left="3120" w:hanging="1440"/>
      </w:pPr>
      <w:rPr>
        <w:rFonts w:hint="default"/>
      </w:rPr>
    </w:lvl>
  </w:abstractNum>
  <w:abstractNum w:abstractNumId="6">
    <w:nsid w:val="431D760A"/>
    <w:multiLevelType w:val="multilevel"/>
    <w:tmpl w:val="431D760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20671DE"/>
    <w:multiLevelType w:val="singleLevel"/>
    <w:tmpl w:val="520671DE"/>
    <w:lvl w:ilvl="0" w:tentative="0">
      <w:start w:val="1"/>
      <w:numFmt w:val="decimal"/>
      <w:lvlText w:val="%1、"/>
      <w:lvlJc w:val="left"/>
      <w:pPr>
        <w:tabs>
          <w:tab w:val="left" w:pos="1002"/>
        </w:tabs>
        <w:ind w:left="1002" w:hanging="435"/>
      </w:pPr>
      <w:rPr>
        <w:rFonts w:hint="eastAsia"/>
      </w:rPr>
    </w:lvl>
  </w:abstractNum>
  <w:abstractNum w:abstractNumId="8">
    <w:nsid w:val="64514949"/>
    <w:multiLevelType w:val="multilevel"/>
    <w:tmpl w:val="64514949"/>
    <w:lvl w:ilvl="0" w:tentative="0">
      <w:start w:val="1"/>
      <w:numFmt w:val="decimal"/>
      <w:lvlText w:val="(%1)"/>
      <w:lvlJc w:val="left"/>
      <w:pPr>
        <w:ind w:left="704"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68B3579E"/>
    <w:multiLevelType w:val="singleLevel"/>
    <w:tmpl w:val="68B3579E"/>
    <w:lvl w:ilvl="0" w:tentative="0">
      <w:start w:val="2"/>
      <w:numFmt w:val="upperLetter"/>
      <w:pStyle w:val="3"/>
      <w:lvlText w:val="%1、"/>
      <w:lvlJc w:val="left"/>
      <w:pPr>
        <w:tabs>
          <w:tab w:val="left" w:pos="1350"/>
        </w:tabs>
        <w:ind w:left="1350" w:hanging="720"/>
      </w:pPr>
      <w:rPr>
        <w:rFonts w:hint="eastAsia"/>
      </w:rPr>
    </w:lvl>
  </w:abstractNum>
  <w:num w:numId="1">
    <w:abstractNumId w:val="9"/>
  </w:num>
  <w:num w:numId="2">
    <w:abstractNumId w:val="0"/>
  </w:num>
  <w:num w:numId="3">
    <w:abstractNumId w:val="2"/>
  </w:num>
  <w:num w:numId="4">
    <w:abstractNumId w:val="1"/>
  </w:num>
  <w:num w:numId="5">
    <w:abstractNumId w:val="8"/>
  </w:num>
  <w:num w:numId="6">
    <w:abstractNumId w:val="7"/>
  </w:num>
  <w:num w:numId="7">
    <w:abstractNumId w:val="4"/>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 w:name="KSO_WPS_MARK_KEY" w:val="cf1acf05-1c87-43b3-803a-6877d62e4e55"/>
  </w:docVars>
  <w:rsids>
    <w:rsidRoot w:val="5B723CB1"/>
    <w:rsid w:val="01B9166B"/>
    <w:rsid w:val="062E198A"/>
    <w:rsid w:val="07E45B90"/>
    <w:rsid w:val="08CD128E"/>
    <w:rsid w:val="0A2E79EF"/>
    <w:rsid w:val="0ACB2771"/>
    <w:rsid w:val="0B282E50"/>
    <w:rsid w:val="0BE3718D"/>
    <w:rsid w:val="10C23BF1"/>
    <w:rsid w:val="14CE6FE1"/>
    <w:rsid w:val="15F54026"/>
    <w:rsid w:val="16297009"/>
    <w:rsid w:val="1C033A0B"/>
    <w:rsid w:val="1E25665E"/>
    <w:rsid w:val="1FB84EEC"/>
    <w:rsid w:val="22CE2052"/>
    <w:rsid w:val="25B30FA3"/>
    <w:rsid w:val="26E31B31"/>
    <w:rsid w:val="27BF082D"/>
    <w:rsid w:val="27E950BD"/>
    <w:rsid w:val="28AB0405"/>
    <w:rsid w:val="28C05575"/>
    <w:rsid w:val="2AE3556F"/>
    <w:rsid w:val="2C1C0860"/>
    <w:rsid w:val="2D7A4097"/>
    <w:rsid w:val="2E68345C"/>
    <w:rsid w:val="2F35729B"/>
    <w:rsid w:val="332B03E7"/>
    <w:rsid w:val="335240BD"/>
    <w:rsid w:val="393F7B5A"/>
    <w:rsid w:val="3AA87BDB"/>
    <w:rsid w:val="3AF0537E"/>
    <w:rsid w:val="3F203E41"/>
    <w:rsid w:val="40D52E0F"/>
    <w:rsid w:val="416769F7"/>
    <w:rsid w:val="42A921B0"/>
    <w:rsid w:val="434E3677"/>
    <w:rsid w:val="44B52B74"/>
    <w:rsid w:val="44FE14DD"/>
    <w:rsid w:val="45A46C77"/>
    <w:rsid w:val="473875D9"/>
    <w:rsid w:val="4B7F49FA"/>
    <w:rsid w:val="4E797E26"/>
    <w:rsid w:val="4ECD070C"/>
    <w:rsid w:val="4F487468"/>
    <w:rsid w:val="5068739B"/>
    <w:rsid w:val="50B4392D"/>
    <w:rsid w:val="55D36572"/>
    <w:rsid w:val="5A477096"/>
    <w:rsid w:val="5B2E63F3"/>
    <w:rsid w:val="5B723CB1"/>
    <w:rsid w:val="5BAA3ED4"/>
    <w:rsid w:val="5C9F6CAA"/>
    <w:rsid w:val="5CEE378D"/>
    <w:rsid w:val="5E4044BD"/>
    <w:rsid w:val="60AC5431"/>
    <w:rsid w:val="62604A7A"/>
    <w:rsid w:val="63907999"/>
    <w:rsid w:val="64CC3604"/>
    <w:rsid w:val="64F56021"/>
    <w:rsid w:val="68662D72"/>
    <w:rsid w:val="69CB05C8"/>
    <w:rsid w:val="6CEC3D0E"/>
    <w:rsid w:val="6DB936B3"/>
    <w:rsid w:val="6E976AE6"/>
    <w:rsid w:val="71C760B6"/>
    <w:rsid w:val="73442DFD"/>
    <w:rsid w:val="74BE4016"/>
    <w:rsid w:val="794E2F38"/>
    <w:rsid w:val="797B3916"/>
    <w:rsid w:val="79916E90"/>
    <w:rsid w:val="7A6B2D73"/>
    <w:rsid w:val="7BA402B4"/>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numPr>
        <w:ilvl w:val="0"/>
        <w:numId w:val="1"/>
      </w:numPr>
      <w:outlineLvl w:val="0"/>
    </w:pPr>
    <w:rPr>
      <w:rFonts w:ascii="仿宋_GB2312" w:eastAsia="仿宋_GB2312"/>
      <w:sz w:val="24"/>
    </w:rPr>
  </w:style>
  <w:style w:type="paragraph" w:styleId="4">
    <w:name w:val="heading 2"/>
    <w:basedOn w:val="1"/>
    <w:next w:val="1"/>
    <w:qFormat/>
    <w:uiPriority w:val="0"/>
    <w:pPr>
      <w:keepNext/>
      <w:keepLines/>
      <w:widowControl w:val="0"/>
      <w:autoSpaceDE w:val="0"/>
      <w:autoSpaceDN w:val="0"/>
      <w:adjustRightInd w:val="0"/>
      <w:snapToGrid w:val="0"/>
      <w:spacing w:before="480" w:after="120"/>
      <w:jc w:val="both"/>
      <w:textAlignment w:val="baseline"/>
      <w:outlineLvl w:val="1"/>
    </w:pPr>
    <w:rPr>
      <w:rFonts w:eastAsia="黑体"/>
      <w:kern w:val="2"/>
      <w:sz w:val="24"/>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Cambria" w:hAnsi="Cambria"/>
      <w:b/>
      <w:bCs/>
      <w:sz w:val="28"/>
      <w:szCs w:val="28"/>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6">
    <w:name w:val="table of authorities"/>
    <w:basedOn w:val="1"/>
    <w:next w:val="1"/>
    <w:unhideWhenUsed/>
    <w:qFormat/>
    <w:uiPriority w:val="99"/>
    <w:pPr>
      <w:ind w:left="420" w:leftChars="200"/>
    </w:pPr>
  </w:style>
  <w:style w:type="paragraph" w:styleId="7">
    <w:name w:val="Normal Indent"/>
    <w:basedOn w:val="1"/>
    <w:next w:val="1"/>
    <w:qFormat/>
    <w:uiPriority w:val="99"/>
    <w:pPr>
      <w:widowControl w:val="0"/>
      <w:autoSpaceDE w:val="0"/>
      <w:autoSpaceDN w:val="0"/>
      <w:adjustRightInd w:val="0"/>
      <w:snapToGrid w:val="0"/>
      <w:spacing w:line="440" w:lineRule="atLeast"/>
      <w:ind w:firstLine="420"/>
      <w:jc w:val="both"/>
      <w:textAlignment w:val="baseline"/>
    </w:pPr>
    <w:rPr>
      <w:kern w:val="2"/>
      <w:sz w:val="21"/>
    </w:rPr>
  </w:style>
  <w:style w:type="paragraph" w:styleId="8">
    <w:name w:val="Body Text"/>
    <w:basedOn w:val="1"/>
    <w:next w:val="1"/>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10">
    <w:name w:val="toc 3"/>
    <w:basedOn w:val="1"/>
    <w:next w:val="1"/>
    <w:qFormat/>
    <w:uiPriority w:val="0"/>
    <w:pPr>
      <w:ind w:left="840" w:leftChars="400"/>
    </w:pPr>
  </w:style>
  <w:style w:type="paragraph" w:styleId="11">
    <w:name w:val="Plain Text"/>
    <w:basedOn w:val="1"/>
    <w:qFormat/>
    <w:uiPriority w:val="0"/>
    <w:pPr>
      <w:widowControl w:val="0"/>
      <w:jc w:val="both"/>
    </w:pPr>
    <w:rPr>
      <w:rFonts w:ascii="宋体" w:hAnsi="Courier New"/>
      <w:kern w:val="2"/>
      <w:sz w:val="21"/>
    </w:rPr>
  </w:style>
  <w:style w:type="paragraph" w:styleId="12">
    <w:name w:val="Date"/>
    <w:basedOn w:val="1"/>
    <w:next w:val="1"/>
    <w:qFormat/>
    <w:uiPriority w:val="0"/>
    <w:pPr>
      <w:widowControl w:val="0"/>
      <w:jc w:val="both"/>
    </w:pPr>
    <w:rPr>
      <w:kern w:val="2"/>
      <w:sz w:val="24"/>
    </w:rPr>
  </w:style>
  <w:style w:type="paragraph" w:styleId="13">
    <w:name w:val="footer"/>
    <w:basedOn w:val="1"/>
    <w:qFormat/>
    <w:uiPriority w:val="99"/>
    <w:pPr>
      <w:tabs>
        <w:tab w:val="center" w:pos="4153"/>
        <w:tab w:val="right" w:pos="8306"/>
      </w:tabs>
      <w:snapToGrid w:val="0"/>
    </w:pPr>
    <w:rPr>
      <w:sz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widowControl w:val="0"/>
      <w:tabs>
        <w:tab w:val="right" w:leader="dot" w:pos="9061"/>
      </w:tabs>
      <w:snapToGrid w:val="0"/>
      <w:spacing w:before="120" w:after="120" w:line="360" w:lineRule="auto"/>
    </w:pPr>
    <w:rPr>
      <w:b/>
      <w:bCs/>
      <w:caps/>
      <w:kern w:val="2"/>
      <w:sz w:val="24"/>
      <w:szCs w:val="24"/>
    </w:rPr>
  </w:style>
  <w:style w:type="paragraph" w:styleId="16">
    <w:name w:val="toc 2"/>
    <w:basedOn w:val="1"/>
    <w:next w:val="1"/>
    <w:qFormat/>
    <w:uiPriority w:val="0"/>
    <w:pPr>
      <w:widowControl w:val="0"/>
      <w:tabs>
        <w:tab w:val="right" w:leader="dot" w:pos="9061"/>
      </w:tabs>
      <w:snapToGrid w:val="0"/>
      <w:spacing w:line="360" w:lineRule="auto"/>
      <w:ind w:left="210"/>
    </w:pPr>
    <w:rPr>
      <w:rFonts w:hAnsi="黑体" w:eastAsia="黑体"/>
      <w:b/>
      <w:smallCaps/>
      <w:kern w:val="2"/>
    </w:rPr>
  </w:style>
  <w:style w:type="paragraph" w:styleId="1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8">
    <w:name w:val="Title"/>
    <w:basedOn w:val="1"/>
    <w:qFormat/>
    <w:uiPriority w:val="0"/>
    <w:pPr>
      <w:widowControl w:val="0"/>
      <w:adjustRightInd w:val="0"/>
      <w:spacing w:before="240" w:after="60" w:line="288" w:lineRule="auto"/>
      <w:ind w:firstLine="420"/>
      <w:jc w:val="center"/>
      <w:textAlignment w:val="baseline"/>
      <w:outlineLvl w:val="0"/>
    </w:pPr>
    <w:rPr>
      <w:rFonts w:ascii="Arial" w:hAnsi="Arial"/>
      <w:b/>
      <w:kern w:val="2"/>
      <w:sz w:val="32"/>
      <w:szCs w:val="22"/>
    </w:rPr>
  </w:style>
  <w:style w:type="paragraph" w:styleId="19">
    <w:name w:val="Body Text First Indent 2"/>
    <w:basedOn w:val="1"/>
    <w:next w:val="1"/>
    <w:unhideWhenUsed/>
    <w:qFormat/>
    <w:uiPriority w:val="99"/>
    <w:pPr>
      <w:ind w:firstLine="420" w:firstLineChars="200"/>
    </w:pPr>
  </w:style>
  <w:style w:type="character" w:styleId="22">
    <w:name w:val="Strong"/>
    <w:qFormat/>
    <w:uiPriority w:val="0"/>
    <w:rPr>
      <w:b/>
      <w:bCs/>
    </w:rPr>
  </w:style>
  <w:style w:type="character" w:styleId="23">
    <w:name w:val="page number"/>
    <w:basedOn w:val="21"/>
    <w:qFormat/>
    <w:uiPriority w:val="0"/>
  </w:style>
  <w:style w:type="character" w:styleId="24">
    <w:name w:val="FollowedHyperlink"/>
    <w:basedOn w:val="21"/>
    <w:qFormat/>
    <w:uiPriority w:val="0"/>
    <w:rPr>
      <w:color w:val="800080"/>
      <w:u w:val="none"/>
    </w:rPr>
  </w:style>
  <w:style w:type="character" w:styleId="25">
    <w:name w:val="HTML Definition"/>
    <w:basedOn w:val="21"/>
    <w:qFormat/>
    <w:uiPriority w:val="0"/>
  </w:style>
  <w:style w:type="character" w:styleId="26">
    <w:name w:val="HTML Typewriter"/>
    <w:basedOn w:val="21"/>
    <w:qFormat/>
    <w:uiPriority w:val="0"/>
    <w:rPr>
      <w:rFonts w:hint="default" w:ascii="monospace" w:hAnsi="monospace" w:eastAsia="monospace" w:cs="monospace"/>
      <w:sz w:val="20"/>
    </w:rPr>
  </w:style>
  <w:style w:type="character" w:styleId="27">
    <w:name w:val="HTML Acronym"/>
    <w:basedOn w:val="21"/>
    <w:qFormat/>
    <w:uiPriority w:val="0"/>
  </w:style>
  <w:style w:type="character" w:styleId="28">
    <w:name w:val="HTML Variable"/>
    <w:basedOn w:val="21"/>
    <w:qFormat/>
    <w:uiPriority w:val="0"/>
  </w:style>
  <w:style w:type="character" w:styleId="29">
    <w:name w:val="Hyperlink"/>
    <w:qFormat/>
    <w:uiPriority w:val="0"/>
    <w:rPr>
      <w:color w:val="0000FF"/>
      <w:u w:val="single"/>
    </w:rPr>
  </w:style>
  <w:style w:type="character" w:styleId="30">
    <w:name w:val="HTML Code"/>
    <w:basedOn w:val="21"/>
    <w:qFormat/>
    <w:uiPriority w:val="0"/>
    <w:rPr>
      <w:rFonts w:hint="default" w:ascii="monospace" w:hAnsi="monospace" w:eastAsia="monospace" w:cs="monospace"/>
      <w:sz w:val="20"/>
    </w:rPr>
  </w:style>
  <w:style w:type="character" w:styleId="31">
    <w:name w:val="HTML Cite"/>
    <w:basedOn w:val="21"/>
    <w:qFormat/>
    <w:uiPriority w:val="0"/>
  </w:style>
  <w:style w:type="character" w:styleId="32">
    <w:name w:val="HTML Keyboard"/>
    <w:basedOn w:val="21"/>
    <w:qFormat/>
    <w:uiPriority w:val="0"/>
    <w:rPr>
      <w:rFonts w:ascii="monospace" w:hAnsi="monospace" w:eastAsia="monospace" w:cs="monospace"/>
      <w:sz w:val="20"/>
    </w:rPr>
  </w:style>
  <w:style w:type="character" w:styleId="33">
    <w:name w:val="HTML Sample"/>
    <w:basedOn w:val="21"/>
    <w:qFormat/>
    <w:uiPriority w:val="0"/>
    <w:rPr>
      <w:rFonts w:hint="default" w:ascii="monospace" w:hAnsi="monospace" w:eastAsia="monospace" w:cs="monospace"/>
    </w:rPr>
  </w:style>
  <w:style w:type="paragraph" w:customStyle="1" w:styleId="34">
    <w:name w:val="Table Paragraph"/>
    <w:basedOn w:val="1"/>
    <w:qFormat/>
    <w:uiPriority w:val="1"/>
    <w:pPr>
      <w:widowControl w:val="0"/>
      <w:autoSpaceDE w:val="0"/>
      <w:autoSpaceDN w:val="0"/>
    </w:pPr>
    <w:rPr>
      <w:rFonts w:ascii="宋体" w:hAnsi="宋体" w:cs="宋体"/>
      <w:sz w:val="22"/>
      <w:szCs w:val="22"/>
      <w:lang w:val="zh-CN" w:bidi="zh-CN"/>
    </w:rPr>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 Char Char2"/>
    <w:basedOn w:val="1"/>
    <w:qFormat/>
    <w:uiPriority w:val="0"/>
    <w:pPr>
      <w:spacing w:line="360" w:lineRule="auto"/>
      <w:ind w:firstLine="200" w:firstLineChars="200"/>
    </w:pPr>
    <w:rPr>
      <w:rFonts w:ascii="宋体" w:hAnsi="宋体" w:cs="宋体"/>
      <w:sz w:val="24"/>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8">
    <w:name w:val="样式 标题 3 + (中文) 黑体 小四 非加粗 段前: 7.8 磅 段后: 0 磅 行距: 固定值 20 磅"/>
    <w:basedOn w:val="2"/>
    <w:qFormat/>
    <w:uiPriority w:val="0"/>
    <w:pPr>
      <w:spacing w:before="0" w:after="0" w:line="400" w:lineRule="exact"/>
    </w:pPr>
    <w:rPr>
      <w:rFonts w:ascii="黑体" w:hAnsi="宋体" w:eastAsia="黑体" w:cs="宋体"/>
      <w:snapToGrid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18728</Words>
  <Characters>19378</Characters>
  <Lines>0</Lines>
  <Paragraphs>0</Paragraphs>
  <TotalTime>1</TotalTime>
  <ScaleCrop>false</ScaleCrop>
  <LinksUpToDate>false</LinksUpToDate>
  <CharactersWithSpaces>21942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2021-02-18T08:09:00Z</dcterms:created>
  <dc:creator>魚虞</dc:creator>
  <cp:lastModifiedBy>刘馨</cp:lastModifiedBy>
  <cp:lastPrinted>2023-04-12T02:00:00Z</cp:lastPrinted>
  <dcterms:modified xsi:type="dcterms:W3CDTF">2024-11-26T01:48:16Z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A5B0439B89AF4433AB18F4D0EB712A42</vt:lpwstr>
  </property>
</Properties>
</file>